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32"/>
        </w:rPr>
      </w:pPr>
      <w:r>
        <w:rPr>
          <w:rFonts w:ascii="Times New Roman" w:hAnsi="Times New Roman"/>
          <w:sz w:val="32"/>
        </w:rPr>
      </w:r>
    </w:p>
    <w:p>
      <w:pPr>
        <w:pStyle w:val="Normal"/>
        <w:spacing w:before="0" w:after="240"/>
        <w:rPr/>
      </w:pPr>
      <w:r>
        <w:rPr>
          <w:rFonts w:ascii="Times New Roman" w:hAnsi="Times New Roman"/>
          <w:sz w:val="28"/>
        </w:rPr>
        <w:t xml:space="preserve">Contratto collettivo integrativo (CID) ai sensi degli artt. 7 e 8 del </w:t>
      </w:r>
      <w:r>
        <w:rPr>
          <w:rFonts w:ascii="Times New Roman" w:hAnsi="Times New Roman"/>
          <w:caps/>
          <w:sz w:val="28"/>
        </w:rPr>
        <w:t xml:space="preserve">CCNL 16/11/2022, </w:t>
      </w:r>
      <w:r>
        <w:rPr>
          <w:rFonts w:ascii="Times New Roman" w:hAnsi="Times New Roman"/>
          <w:sz w:val="28"/>
        </w:rPr>
        <w:t>stipulato per il triennio 2023-2025</w:t>
      </w:r>
      <w:r>
        <w:rPr>
          <w:rFonts w:ascii="Times New Roman" w:hAnsi="Times New Roman"/>
          <w:b/>
          <w:sz w:val="28"/>
        </w:rPr>
        <w:t>. Relazione illustrativa</w:t>
      </w:r>
    </w:p>
    <w:p>
      <w:pPr>
        <w:pStyle w:val="Normal"/>
        <w:shd w:val="clear" w:color="auto" w:fill="FFFFFF"/>
        <w:spacing w:before="0" w:after="240"/>
        <w:rPr>
          <w:rFonts w:ascii="Times New Roman" w:hAnsi="Times New Roman"/>
          <w:b/>
          <w:b/>
          <w:sz w:val="20"/>
        </w:rPr>
      </w:pPr>
      <w:r>
        <w:rPr>
          <w:rFonts w:ascii="Times New Roman" w:hAnsi="Times New Roman"/>
          <w:b/>
          <w:sz w:val="20"/>
        </w:rPr>
        <w:t>Modulo 1 - Scheda 1.1 Illustrazione degli aspetti procedurali, sintesi del contenuto del contratto ed autodichiarazione relative agli adempimenti della legge</w:t>
      </w:r>
    </w:p>
    <w:tbl>
      <w:tblPr>
        <w:tblW w:w="10368" w:type="dxa"/>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1e0"/>
      </w:tblPr>
      <w:tblGrid>
        <w:gridCol w:w="1908"/>
        <w:gridCol w:w="1461"/>
        <w:gridCol w:w="6999"/>
      </w:tblGrid>
      <w:tr>
        <w:trPr/>
        <w:tc>
          <w:tcPr>
            <w:tcW w:w="33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Data di sottoscrizione</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ascii="Times New Roman" w:hAnsi="Times New Roman"/>
                <w:b/>
                <w:sz w:val="20"/>
              </w:rPr>
              <w:t>Preintesa  14 Dicembre 2023</w:t>
            </w:r>
          </w:p>
          <w:p>
            <w:pPr>
              <w:pStyle w:val="Normal"/>
              <w:rPr>
                <w:rFonts w:ascii="Times New Roman" w:hAnsi="Times New Roman"/>
                <w:b/>
                <w:b/>
                <w:sz w:val="20"/>
              </w:rPr>
            </w:pPr>
            <w:r>
              <w:rPr>
                <w:rFonts w:ascii="Times New Roman" w:hAnsi="Times New Roman"/>
                <w:b/>
                <w:sz w:val="20"/>
              </w:rPr>
              <w:t>Contratto _</w:t>
            </w:r>
            <w:r>
              <w:rPr>
                <w:rFonts w:ascii="Times New Roman" w:hAnsi="Times New Roman"/>
                <w:b/>
                <w:sz w:val="20"/>
              </w:rPr>
              <w:t>22 Dicembre 2023</w:t>
            </w:r>
            <w:r>
              <w:rPr>
                <w:rFonts w:ascii="Times New Roman" w:hAnsi="Times New Roman"/>
                <w:b/>
                <w:sz w:val="20"/>
              </w:rPr>
              <w:t>_________</w:t>
            </w:r>
          </w:p>
        </w:tc>
      </w:tr>
      <w:tr>
        <w:trPr/>
        <w:tc>
          <w:tcPr>
            <w:tcW w:w="33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Periodo temporale di vigenza</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ascii="Times New Roman" w:hAnsi="Times New Roman"/>
                <w:b/>
                <w:sz w:val="20"/>
              </w:rPr>
              <w:t xml:space="preserve">1° gennaio 2023 – 31 dicembre 2025 e comunque fino alla stipulazione di un nuovo CID  </w:t>
            </w:r>
          </w:p>
        </w:tc>
      </w:tr>
      <w:tr>
        <w:trPr>
          <w:trHeight w:val="730" w:hRule="atLeast"/>
        </w:trPr>
        <w:tc>
          <w:tcPr>
            <w:tcW w:w="33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Composizione</w:t>
              <w:br/>
              <w:t>della delegazione trattante</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0"/>
              </w:rPr>
            </w:pPr>
            <w:r>
              <w:rPr>
                <w:rFonts w:ascii="Times New Roman" w:hAnsi="Times New Roman"/>
                <w:sz w:val="20"/>
              </w:rPr>
              <w:t>Parte Pubblica (ruoli/qualifiche ricoperti):</w:t>
            </w:r>
          </w:p>
          <w:p>
            <w:pPr>
              <w:pStyle w:val="Normal"/>
              <w:rPr/>
            </w:pPr>
            <w:r>
              <w:rPr>
                <w:rFonts w:ascii="Times New Roman" w:hAnsi="Times New Roman"/>
                <w:sz w:val="20"/>
              </w:rPr>
              <w:t>Presidente  dr.ssa Arianna Lattanzi (dirigente Area Servizi generali) – dr.ssa  Sandra Ansuini (dirigente Area Diritti di cittadinanza)</w:t>
            </w:r>
          </w:p>
          <w:p>
            <w:pPr>
              <w:pStyle w:val="BodyText2"/>
              <w:rPr/>
            </w:pPr>
            <w:r>
              <w:rPr/>
              <w:t>Organizzazioni sindacali ammesse alla contrattazione (elenco sigle): FP-CGIL, CISL-FP, UIL-FPL, CSA Regioni e autonomie locali</w:t>
            </w:r>
          </w:p>
          <w:p>
            <w:pPr>
              <w:pStyle w:val="BodyText2"/>
              <w:rPr/>
            </w:pPr>
            <w:r>
              <w:rPr/>
              <w:t>Firmatarie della preintesa: FP-CGIL, CISL-FP, UIL-FPL. CSA Regioni e autonomie locali, RSU (a maggioranza)</w:t>
            </w:r>
          </w:p>
          <w:p>
            <w:pPr>
              <w:pStyle w:val="BodyText2"/>
              <w:rPr/>
            </w:pPr>
            <w:r>
              <w:rPr/>
              <w:t xml:space="preserve">Firmatarie del contratto: </w:t>
            </w:r>
          </w:p>
          <w:p>
            <w:pPr>
              <w:pStyle w:val="Normal"/>
              <w:rPr>
                <w:rFonts w:ascii="Times New Roman" w:hAnsi="Times New Roman"/>
                <w:sz w:val="20"/>
              </w:rPr>
            </w:pPr>
            <w:r>
              <w:rPr>
                <w:rFonts w:ascii="Times New Roman" w:hAnsi="Times New Roman"/>
                <w:sz w:val="20"/>
              </w:rPr>
            </w:r>
          </w:p>
          <w:p>
            <w:pPr>
              <w:pStyle w:val="Normal"/>
              <w:rPr>
                <w:rFonts w:ascii="Times New Roman" w:hAnsi="Times New Roman"/>
                <w:sz w:val="20"/>
              </w:rPr>
            </w:pPr>
            <w:r>
              <w:rPr>
                <w:rFonts w:ascii="Times New Roman" w:hAnsi="Times New Roman"/>
                <w:sz w:val="20"/>
              </w:rPr>
            </w:r>
          </w:p>
        </w:tc>
      </w:tr>
      <w:tr>
        <w:trPr>
          <w:trHeight w:val="427" w:hRule="atLeast"/>
        </w:trPr>
        <w:tc>
          <w:tcPr>
            <w:tcW w:w="33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Soggetti destinatari</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0"/>
              </w:rPr>
            </w:pPr>
            <w:r>
              <w:rPr>
                <w:rFonts w:ascii="Times New Roman" w:hAnsi="Times New Roman"/>
                <w:sz w:val="20"/>
              </w:rPr>
              <w:t>Personale non dirigente</w:t>
            </w:r>
          </w:p>
        </w:tc>
      </w:tr>
      <w:tr>
        <w:trPr>
          <w:trHeight w:val="724" w:hRule="atLeast"/>
        </w:trPr>
        <w:tc>
          <w:tcPr>
            <w:tcW w:w="33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Materie trattate dal contratto integrativo (descrizione sintetica)</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0"/>
              </w:rPr>
            </w:pPr>
            <w:r>
              <w:rPr>
                <w:rFonts w:ascii="Times New Roman" w:hAnsi="Times New Roman"/>
                <w:sz w:val="20"/>
              </w:rPr>
            </w:r>
          </w:p>
          <w:p>
            <w:pPr>
              <w:pStyle w:val="Normal"/>
              <w:rPr/>
            </w:pPr>
            <w:r>
              <w:rPr>
                <w:rFonts w:ascii="Times New Roman" w:hAnsi="Times New Roman"/>
                <w:sz w:val="20"/>
              </w:rPr>
              <w:t>Tempi e procedure di applicazione del contratto</w:t>
            </w:r>
          </w:p>
          <w:p>
            <w:pPr>
              <w:pStyle w:val="Normal"/>
              <w:rPr/>
            </w:pPr>
            <w:r>
              <w:rPr>
                <w:rFonts w:ascii="Times New Roman" w:hAnsi="Times New Roman"/>
                <w:sz w:val="20"/>
              </w:rPr>
              <w:t>Sistema delle Relazioni Sindacali- disposizioni procedurali</w:t>
              <w:tab/>
            </w:r>
          </w:p>
          <w:p>
            <w:pPr>
              <w:pStyle w:val="Normal"/>
              <w:rPr/>
            </w:pPr>
            <w:r>
              <w:rPr>
                <w:rFonts w:ascii="Times New Roman" w:hAnsi="Times New Roman"/>
                <w:sz w:val="20"/>
              </w:rPr>
              <w:t>Fondo risorse decentrate</w:t>
              <w:tab/>
            </w:r>
          </w:p>
          <w:p>
            <w:pPr>
              <w:pStyle w:val="Normal"/>
              <w:rPr/>
            </w:pPr>
            <w:r>
              <w:rPr>
                <w:rFonts w:ascii="Times New Roman" w:hAnsi="Times New Roman"/>
                <w:sz w:val="20"/>
              </w:rPr>
              <w:t>Premi correlati alla performance</w:t>
              <w:tab/>
            </w:r>
          </w:p>
          <w:p>
            <w:pPr>
              <w:pStyle w:val="Normal"/>
              <w:rPr/>
            </w:pPr>
            <w:r>
              <w:rPr>
                <w:rFonts w:ascii="Times New Roman" w:hAnsi="Times New Roman"/>
                <w:sz w:val="20"/>
              </w:rPr>
              <w:t>Altri istituti finalizzati alla incentivazione</w:t>
              <w:tab/>
            </w:r>
          </w:p>
          <w:p>
            <w:pPr>
              <w:pStyle w:val="Normal"/>
              <w:rPr/>
            </w:pPr>
            <w:r>
              <w:rPr>
                <w:rFonts w:ascii="Times New Roman" w:hAnsi="Times New Roman"/>
                <w:sz w:val="20"/>
              </w:rPr>
              <w:t>Area degli incarichi di Elevata Qualificazione</w:t>
              <w:tab/>
            </w:r>
          </w:p>
          <w:p>
            <w:pPr>
              <w:pStyle w:val="Normal"/>
              <w:rPr/>
            </w:pPr>
            <w:r>
              <w:rPr>
                <w:rFonts w:ascii="Times New Roman" w:hAnsi="Times New Roman"/>
                <w:sz w:val="20"/>
              </w:rPr>
              <w:t>Progressioni economiche all’interno delle aree</w:t>
              <w:tab/>
            </w:r>
          </w:p>
          <w:p>
            <w:pPr>
              <w:pStyle w:val="Normal"/>
              <w:rPr/>
            </w:pPr>
            <w:r>
              <w:rPr>
                <w:rFonts w:ascii="Times New Roman" w:hAnsi="Times New Roman"/>
                <w:sz w:val="20"/>
              </w:rPr>
              <w:t>Welfare integrativo</w:t>
              <w:tab/>
            </w:r>
          </w:p>
          <w:p>
            <w:pPr>
              <w:pStyle w:val="Normal"/>
              <w:rPr/>
            </w:pPr>
            <w:r>
              <w:rPr>
                <w:rFonts w:ascii="Times New Roman" w:hAnsi="Times New Roman"/>
                <w:sz w:val="20"/>
              </w:rPr>
              <w:t>Sistema delle indennità</w:t>
              <w:tab/>
            </w:r>
          </w:p>
          <w:p>
            <w:pPr>
              <w:pStyle w:val="Normal"/>
              <w:rPr/>
            </w:pPr>
            <w:r>
              <w:rPr>
                <w:rFonts w:ascii="Times New Roman" w:hAnsi="Times New Roman"/>
                <w:sz w:val="20"/>
              </w:rPr>
              <w:t>Fondo Previdenza Complementare</w:t>
              <w:tab/>
            </w:r>
          </w:p>
          <w:p>
            <w:pPr>
              <w:pStyle w:val="Normal"/>
              <w:rPr/>
            </w:pPr>
            <w:r>
              <w:rPr>
                <w:rFonts w:ascii="Times New Roman" w:hAnsi="Times New Roman"/>
                <w:sz w:val="20"/>
              </w:rPr>
              <w:t>Sezione Personale Educativo e Scolastico</w:t>
              <w:tab/>
            </w:r>
          </w:p>
          <w:p>
            <w:pPr>
              <w:pStyle w:val="Normal"/>
              <w:rPr/>
            </w:pPr>
            <w:r>
              <w:rPr>
                <w:rFonts w:ascii="Times New Roman" w:hAnsi="Times New Roman"/>
                <w:sz w:val="20"/>
              </w:rPr>
              <w:t>Personale iscritto ad ordini o albi professionali</w:t>
              <w:tab/>
            </w:r>
          </w:p>
          <w:p>
            <w:pPr>
              <w:pStyle w:val="Normal"/>
              <w:rPr/>
            </w:pPr>
            <w:r>
              <w:rPr>
                <w:rFonts w:ascii="Times New Roman" w:hAnsi="Times New Roman"/>
                <w:sz w:val="20"/>
              </w:rPr>
              <w:t>Istituti connessi con l’articolazione oraria dell’attività lavorativa</w:t>
              <w:tab/>
            </w:r>
          </w:p>
          <w:p>
            <w:pPr>
              <w:pStyle w:val="Normal"/>
              <w:rPr/>
            </w:pPr>
            <w:r>
              <w:rPr>
                <w:rFonts w:ascii="Times New Roman" w:hAnsi="Times New Roman"/>
                <w:sz w:val="20"/>
              </w:rPr>
              <w:t>Servizio mensa e buono pasto sostitutivo</w:t>
              <w:tab/>
            </w:r>
          </w:p>
          <w:p>
            <w:pPr>
              <w:pStyle w:val="Normal"/>
              <w:rPr/>
            </w:pPr>
            <w:r>
              <w:rPr>
                <w:rFonts w:ascii="Times New Roman" w:hAnsi="Times New Roman"/>
                <w:sz w:val="20"/>
              </w:rPr>
              <w:t>Salute e sicurezza</w:t>
            </w:r>
          </w:p>
          <w:p>
            <w:pPr>
              <w:pStyle w:val="Normal"/>
              <w:rPr/>
            </w:pPr>
            <w:r>
              <w:rPr>
                <w:rFonts w:ascii="Times New Roman" w:hAnsi="Times New Roman"/>
                <w:sz w:val="20"/>
              </w:rPr>
              <w:t>Innovazioni tecnologiche e qualità del lavoro</w:t>
            </w:r>
          </w:p>
          <w:p>
            <w:pPr>
              <w:pStyle w:val="Normal"/>
              <w:rPr/>
            </w:pPr>
            <w:r>
              <w:rPr>
                <w:rFonts w:ascii="Times New Roman" w:hAnsi="Times New Roman"/>
                <w:sz w:val="20"/>
              </w:rPr>
              <w:t>Lavoro a distanza</w:t>
            </w:r>
          </w:p>
          <w:p>
            <w:pPr>
              <w:pStyle w:val="Normal"/>
              <w:rPr>
                <w:rFonts w:ascii="Times New Roman" w:hAnsi="Times New Roman"/>
                <w:sz w:val="20"/>
              </w:rPr>
            </w:pPr>
            <w:r>
              <w:rPr>
                <w:rFonts w:ascii="Times New Roman" w:hAnsi="Times New Roman"/>
                <w:sz w:val="20"/>
              </w:rPr>
            </w:r>
          </w:p>
        </w:tc>
      </w:tr>
      <w:tr>
        <w:trPr>
          <w:trHeight w:val="1107" w:hRule="atLeast"/>
          <w:cantSplit w:val="true"/>
        </w:trPr>
        <w:tc>
          <w:tcPr>
            <w:tcW w:w="19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ind w:left="113" w:right="113" w:hanging="0"/>
              <w:jc w:val="center"/>
              <w:rPr>
                <w:rFonts w:ascii="Times New Roman" w:hAnsi="Times New Roman"/>
                <w:b/>
                <w:b/>
                <w:sz w:val="20"/>
              </w:rPr>
            </w:pPr>
            <w:r>
              <w:rPr>
                <w:rFonts w:ascii="Times New Roman" w:hAnsi="Times New Roman"/>
                <w:b/>
                <w:sz w:val="20"/>
              </w:rPr>
              <w:t xml:space="preserve">Rispetto dell’iter </w:t>
            </w:r>
          </w:p>
          <w:p>
            <w:pPr>
              <w:pStyle w:val="Normal"/>
              <w:ind w:left="113" w:right="113" w:hanging="0"/>
              <w:jc w:val="center"/>
              <w:rPr>
                <w:rFonts w:ascii="Times New Roman" w:hAnsi="Times New Roman"/>
                <w:b/>
                <w:b/>
                <w:sz w:val="20"/>
              </w:rPr>
            </w:pPr>
            <w:r>
              <w:rPr>
                <w:rFonts w:ascii="Times New Roman" w:hAnsi="Times New Roman"/>
                <w:b/>
                <w:sz w:val="20"/>
              </w:rPr>
              <w:t>adempimenti procedurale</w:t>
            </w:r>
          </w:p>
          <w:p>
            <w:pPr>
              <w:pStyle w:val="Normal"/>
              <w:ind w:left="113" w:right="113" w:hanging="0"/>
              <w:jc w:val="center"/>
              <w:rPr>
                <w:rFonts w:ascii="Times New Roman" w:hAnsi="Times New Roman"/>
                <w:b/>
                <w:b/>
                <w:sz w:val="20"/>
              </w:rPr>
            </w:pPr>
            <w:r>
              <w:rPr>
                <w:rFonts w:ascii="Times New Roman" w:hAnsi="Times New Roman"/>
                <w:b/>
                <w:sz w:val="20"/>
              </w:rPr>
              <w:t xml:space="preserve"> </w:t>
            </w:r>
            <w:r>
              <w:rPr>
                <w:rFonts w:ascii="Times New Roman" w:hAnsi="Times New Roman"/>
                <w:b/>
                <w:sz w:val="20"/>
              </w:rPr>
              <w:t>e degli atti propedeutici e successivi alla contrattazione</w:t>
            </w:r>
          </w:p>
        </w:tc>
        <w:tc>
          <w:tcPr>
            <w:tcW w:w="14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 xml:space="preserve">Intervento dell’Organo di controllo interno. </w:t>
            </w:r>
          </w:p>
          <w:p>
            <w:pPr>
              <w:pStyle w:val="Normal"/>
              <w:rPr>
                <w:rFonts w:ascii="Times New Roman" w:hAnsi="Times New Roman"/>
                <w:b/>
                <w:b/>
                <w:sz w:val="20"/>
              </w:rPr>
            </w:pPr>
            <w:r>
              <w:rPr>
                <w:rFonts w:ascii="Times New Roman" w:hAnsi="Times New Roman"/>
                <w:b/>
                <w:sz w:val="20"/>
              </w:rPr>
              <w:t>Allegazione della Certificazione dell’Organo di controllo interno alla Relazione illustrativa.</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sz w:val="20"/>
              </w:rPr>
            </w:pPr>
            <w:r>
              <w:rPr>
                <w:rFonts w:ascii="Times New Roman" w:hAnsi="Times New Roman"/>
                <w:sz w:val="20"/>
              </w:rPr>
              <w:t>È stata acquisita la certificazione dell’Organo di controllo interno?</w:t>
            </w:r>
          </w:p>
          <w:p>
            <w:pPr>
              <w:pStyle w:val="Corpodeltesto"/>
              <w:ind w:right="-585" w:hanging="0"/>
              <w:rPr>
                <w:rFonts w:ascii="Times New Roman" w:hAnsi="Times New Roman"/>
                <w:color w:val="auto"/>
                <w:lang w:eastAsia="ar-SA"/>
              </w:rPr>
            </w:pPr>
            <w:r>
              <w:rPr>
                <w:rFonts w:ascii="Times New Roman" w:hAnsi="Times New Roman"/>
                <w:color w:val="auto"/>
                <w:lang w:eastAsia="ar-SA"/>
              </w:rPr>
            </w:r>
          </w:p>
          <w:p>
            <w:pPr>
              <w:pStyle w:val="Normal"/>
              <w:rPr/>
            </w:pPr>
            <w:r>
              <w:rPr>
                <w:rFonts w:ascii="Times New Roman" w:hAnsi="Times New Roman"/>
                <w:b/>
                <w:sz w:val="20"/>
              </w:rPr>
              <w:t>SI in data 20/12/2023</w:t>
            </w:r>
          </w:p>
          <w:p>
            <w:pPr>
              <w:pStyle w:val="Normal"/>
              <w:rPr>
                <w:rFonts w:ascii="Times New Roman" w:hAnsi="Times New Roman"/>
                <w:b/>
                <w:b/>
              </w:rPr>
            </w:pPr>
            <w:r>
              <w:rPr>
                <w:rFonts w:ascii="Times New Roman" w:hAnsi="Times New Roman"/>
                <w:b/>
              </w:rPr>
            </w:r>
          </w:p>
        </w:tc>
      </w:tr>
      <w:tr>
        <w:trPr>
          <w:trHeight w:val="919" w:hRule="atLeast"/>
          <w:cantSplit w:val="true"/>
        </w:trPr>
        <w:tc>
          <w:tcPr>
            <w:tcW w:w="19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r>
          </w:p>
        </w:tc>
        <w:tc>
          <w:tcPr>
            <w:tcW w:w="14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sz w:val="20"/>
              </w:rPr>
            </w:pPr>
            <w:r>
              <w:rPr>
                <w:rFonts w:ascii="Times New Roman" w:hAnsi="Times New Roman"/>
                <w:sz w:val="20"/>
              </w:rPr>
              <w:t>Nel caso l’Organo di controllo interno abbia effettuato rilievi, descriverli</w:t>
            </w:r>
          </w:p>
          <w:p>
            <w:pPr>
              <w:pStyle w:val="Normal"/>
              <w:ind w:left="360" w:hanging="0"/>
              <w:rPr>
                <w:rFonts w:ascii="Times New Roman" w:hAnsi="Times New Roman"/>
              </w:rPr>
            </w:pPr>
            <w:r>
              <w:rPr>
                <w:rFonts w:ascii="Times New Roman" w:hAnsi="Times New Roman"/>
              </w:rPr>
            </w:r>
          </w:p>
          <w:p>
            <w:pPr>
              <w:pStyle w:val="Normal"/>
              <w:ind w:left="360" w:hanging="0"/>
              <w:rPr>
                <w:rFonts w:ascii="Times New Roman" w:hAnsi="Times New Roman"/>
              </w:rPr>
            </w:pPr>
            <w:r>
              <w:rPr>
                <w:rFonts w:ascii="Times New Roman" w:hAnsi="Times New Roman"/>
              </w:rPr>
              <w:t>NON sono stati svolti rilievi</w:t>
            </w:r>
          </w:p>
        </w:tc>
      </w:tr>
      <w:tr>
        <w:trPr>
          <w:trHeight w:val="600" w:hRule="atLeast"/>
          <w:cantSplit w:val="true"/>
        </w:trPr>
        <w:tc>
          <w:tcPr>
            <w:tcW w:w="19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r>
          </w:p>
        </w:tc>
        <w:tc>
          <w:tcPr>
            <w:tcW w:w="14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sz w:val="20"/>
              </w:rPr>
            </w:pPr>
            <w:r>
              <w:rPr>
                <w:rFonts w:ascii="Times New Roman" w:hAnsi="Times New Roman"/>
                <w:b/>
                <w:sz w:val="20"/>
              </w:rPr>
              <w:t>Attestazione del rispetto degli obblighi di legge che in caso di inadempimento comportano la sanzione del divieto di erogazione della retribuzione accessoria</w:t>
            </w:r>
          </w:p>
        </w:tc>
        <w:tc>
          <w:tcPr>
            <w:tcW w:w="69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tbl>
            <w:tblPr>
              <w:tblW w:w="701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35" w:type="dxa"/>
                <w:bottom w:w="0" w:type="dxa"/>
                <w:right w:w="70" w:type="dxa"/>
              </w:tblCellMar>
              <w:tblLook w:val="04a0"/>
            </w:tblPr>
            <w:tblGrid>
              <w:gridCol w:w="7019"/>
            </w:tblGrid>
            <w:tr>
              <w:trPr>
                <w:trHeight w:val="600" w:hRule="atLeast"/>
              </w:trPr>
              <w:tc>
                <w:tcPr>
                  <w:tcW w:w="7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sz w:val="20"/>
                      <w:szCs w:val="20"/>
                      <w:lang w:eastAsia="zh-CN"/>
                    </w:rPr>
                  </w:pPr>
                  <w:r>
                    <w:rPr>
                      <w:rFonts w:ascii="Times New Roman" w:hAnsi="Times New Roman"/>
                      <w:sz w:val="20"/>
                      <w:szCs w:val="20"/>
                    </w:rPr>
                    <w:t>È stato adottato il Piano della performance previsto dall’art. 10 del d.lgs. 150/2009</w:t>
                  </w:r>
                </w:p>
                <w:p>
                  <w:pPr>
                    <w:pStyle w:val="Normal"/>
                    <w:rPr/>
                  </w:pPr>
                  <w:r>
                    <w:rPr>
                      <w:rFonts w:ascii="Times New Roman" w:hAnsi="Times New Roman"/>
                      <w:b/>
                      <w:sz w:val="20"/>
                      <w:szCs w:val="20"/>
                    </w:rPr>
                    <w:t>Il piano dettagliato degli obiettivi di cui all'articolo 108, comma 1, del TUEL e il piano della performance di cui all'articolo 10 del d.lgs. 150/2009, unificati organicamente nel piano integrato di attività ed organizzazione, sono stati approvati con deliberazione G.C. n. 315 del 29/05/2023 e ss.mm.ii.</w:t>
                  </w:r>
                </w:p>
              </w:tc>
            </w:tr>
            <w:tr>
              <w:trPr>
                <w:trHeight w:val="500" w:hRule="atLeast"/>
              </w:trPr>
              <w:tc>
                <w:tcPr>
                  <w:tcW w:w="7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sz w:val="20"/>
                      <w:szCs w:val="20"/>
                      <w:lang w:eastAsia="zh-CN"/>
                    </w:rPr>
                  </w:pPr>
                  <w:r>
                    <w:rPr>
                      <w:rFonts w:ascii="Times New Roman" w:hAnsi="Times New Roman"/>
                      <w:sz w:val="20"/>
                      <w:szCs w:val="20"/>
                    </w:rPr>
                    <w:t xml:space="preserve">È stato adottato il Programma triennale per la trasparenza e l’integrità previsto dall’art. 10, comma 8, lettera a) del d.lgs. 33/2013? </w:t>
                  </w:r>
                </w:p>
                <w:p>
                  <w:pPr>
                    <w:pStyle w:val="Normal"/>
                    <w:rPr/>
                  </w:pPr>
                  <w:r>
                    <w:rPr>
                      <w:rFonts w:ascii="Times New Roman" w:hAnsi="Times New Roman"/>
                      <w:b/>
                      <w:sz w:val="20"/>
                      <w:szCs w:val="20"/>
                    </w:rPr>
                    <w:t>Il programma triennale è stato approvato unitamente al Piano triennale per la prevenzione della corruzione,  con deliberazione G.C. n.315 del 29/05/2023 e ss.mm.ii.</w:t>
                  </w:r>
                </w:p>
              </w:tc>
            </w:tr>
            <w:tr>
              <w:trPr>
                <w:trHeight w:val="610" w:hRule="atLeast"/>
              </w:trPr>
              <w:tc>
                <w:tcPr>
                  <w:tcW w:w="7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sz w:val="20"/>
                      <w:szCs w:val="20"/>
                      <w:lang w:eastAsia="zh-CN"/>
                    </w:rPr>
                  </w:pPr>
                  <w:r>
                    <w:rPr>
                      <w:rFonts w:ascii="Times New Roman" w:hAnsi="Times New Roman"/>
                      <w:sz w:val="20"/>
                      <w:szCs w:val="20"/>
                    </w:rPr>
                    <w:t>È stato assolto l’obbligo di pubblicazione di cui ai commi 6 e 8 dell’art. 11 del d.lgs. 150/2009?</w:t>
                  </w:r>
                  <w:r>
                    <w:rPr>
                      <w:rFonts w:ascii="Times New Roman" w:hAnsi="Times New Roman"/>
                      <w:b/>
                      <w:sz w:val="20"/>
                      <w:szCs w:val="20"/>
                    </w:rPr>
                    <w:t xml:space="preserve"> Il contenuto del sito internet dell’Ente è adeguato a quanto previsto dal d.Lgs. n. 33/2013. </w:t>
                  </w:r>
                </w:p>
              </w:tc>
            </w:tr>
            <w:tr>
              <w:trPr>
                <w:trHeight w:val="610" w:hRule="atLeast"/>
              </w:trPr>
              <w:tc>
                <w:tcPr>
                  <w:tcW w:w="7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sz w:val="20"/>
                      <w:szCs w:val="20"/>
                      <w:lang w:eastAsia="zh-CN"/>
                    </w:rPr>
                  </w:pPr>
                  <w:r>
                    <w:rPr>
                      <w:rFonts w:ascii="Times New Roman" w:hAnsi="Times New Roman"/>
                      <w:sz w:val="20"/>
                      <w:szCs w:val="20"/>
                    </w:rPr>
                    <w:t>La Relazione della Performance è stata validata dall’OIV ai sensi dell’articolo 14, comma 6. del d.lgs. n. 150/2009?</w:t>
                  </w:r>
                </w:p>
                <w:p>
                  <w:pPr>
                    <w:pStyle w:val="Normal"/>
                    <w:rPr/>
                  </w:pPr>
                  <w:r>
                    <w:rPr>
                      <w:rFonts w:ascii="Times New Roman" w:hAnsi="Times New Roman"/>
                      <w:b/>
                      <w:sz w:val="20"/>
                      <w:szCs w:val="20"/>
                    </w:rPr>
                    <w:t xml:space="preserve">SI in data </w:t>
                  </w:r>
                  <w:r>
                    <w:rPr>
                      <w:rFonts w:ascii="Times New Roman" w:hAnsi="Times New Roman"/>
                      <w:b/>
                      <w:sz w:val="20"/>
                      <w:szCs w:val="20"/>
                      <w:lang w:eastAsia="zh-CN"/>
                    </w:rPr>
                    <w:t>____________</w:t>
                  </w:r>
                </w:p>
              </w:tc>
            </w:tr>
          </w:tbl>
          <w:p>
            <w:pPr>
              <w:pStyle w:val="Normal"/>
              <w:rPr>
                <w:rFonts w:ascii="Times New Roman" w:hAnsi="Times New Roman"/>
                <w:sz w:val="20"/>
              </w:rPr>
            </w:pPr>
            <w:r>
              <w:rPr>
                <w:rFonts w:ascii="Times New Roman" w:hAnsi="Times New Roman"/>
                <w:sz w:val="20"/>
              </w:rPr>
            </w:r>
          </w:p>
        </w:tc>
      </w:tr>
      <w:tr>
        <w:trPr>
          <w:trHeight w:val="1265" w:hRule="atLeast"/>
        </w:trPr>
        <w:tc>
          <w:tcPr>
            <w:tcW w:w="103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ascii="Times New Roman" w:hAnsi="Times New Roman"/>
                <w:b/>
                <w:sz w:val="20"/>
              </w:rPr>
              <w:t>Eventuali osservazioni =============</w:t>
              <w:br/>
            </w:r>
          </w:p>
        </w:tc>
      </w:tr>
    </w:tbl>
    <w:p>
      <w:pPr>
        <w:pStyle w:val="Normal"/>
        <w:shd w:val="clear" w:color="auto" w:fill="FFFFFF"/>
        <w:spacing w:before="0" w:after="240"/>
        <w:rPr/>
      </w:pPr>
      <w:r>
        <w:rPr>
          <w:rFonts w:ascii="Times New Roman" w:hAnsi="Times New Roman"/>
          <w:b/>
          <w:sz w:val="20"/>
        </w:rPr>
        <w:t xml:space="preserve">Modulo 2 Illustrazione dell’articolato del contratto (Attestazione della compatibilità con i vincoli derivanti da norme di legge e di contratto nazionale –modalità di utilizzo delle risorse accessorie </w:t>
        <w:noBreakHyphen/>
        <w:t xml:space="preserve"> risultati attesi  </w:t>
        <w:noBreakHyphen/>
        <w:t xml:space="preserve"> altre informazioni utili)</w:t>
      </w:r>
    </w:p>
    <w:p>
      <w:pPr>
        <w:pStyle w:val="Normal"/>
        <w:rPr>
          <w:rFonts w:ascii="Times New Roman" w:hAnsi="Times New Roman"/>
          <w:sz w:val="20"/>
          <w:u w:val="single"/>
        </w:rPr>
      </w:pPr>
      <w:r>
        <w:rPr>
          <w:rFonts w:ascii="Times New Roman" w:hAnsi="Times New Roman"/>
          <w:sz w:val="20"/>
          <w:u w:val="single"/>
        </w:rPr>
        <w:t>A) illustrazione di quanto disposto dal contratto integrativo</w:t>
      </w:r>
    </w:p>
    <w:p>
      <w:pPr>
        <w:pStyle w:val="BodyTextIndent2"/>
        <w:ind w:left="0" w:hanging="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1.</w:t>
        <w:tab/>
        <w:t xml:space="preserve">Vengono identificati l’oggetto del contratto, il campo di applicazione e la durata. Le norme del CID conservano la loro durata fino alla stipulazione di un nuovo CID od all’entrata in vigore di un CCNL che rechi una disciplina incompatibile. La decorrenza del CIDè dal 1° gennaio 2023 e le sue disposizioni sono integralmente sostitutive di tutti gli accordi precedenti. Sono fissate procedure di verifica periodica dello stato di attuazione degli istituti.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2</w:t>
        <w:tab/>
        <w:t xml:space="preserve">Si dettano disposizioni organizzative di dettaglio della eventuale procedura di interpretazione autentica.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3</w:t>
        <w:tab/>
        <w:t xml:space="preserve">Si dettano disposizioni organizzative di dettaglio in materia di relazioni sindacali, per le parti non disciplinate dal CCNL. In particolare, si conferma la regola, dettata dal precedente CID, secondo cui la formazione della volontà della parte sindacale avviene con il voto favorevole della maggioranza dei componenti la RSU. Le parti concordano di costituire L’Organismo Paritetico per l’Innovazione (OPI) previsto dall’art. 6 del CCNL, sede di discussione fra le parti in cui instaurare discussioni aperte e collaborative su materie di confronto non affidate alla contrattazione integrativa (lavoro agile, lavoro straordinario, contratti a termine, progetti di innovazione organizzativa, etc.).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4</w:t>
        <w:tab/>
        <w:t xml:space="preserve">Fondo Risorse decentrate. Si dettano disposizioni di dettaglio sulla sua presentazione alle parti e negoziazione. Si ribadisce il dettato del CCNL secondo cui la costituzione spetta all’Amministrazione mentre la ripartizione è regolata da accordi decentrati di cadenza annuale. Si adotta uno schema di costituzione, basato su quello utilizzato dal MEF per la redazione del Conto annuale del personale (tab. 15).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5</w:t>
        <w:tab/>
        <w:t xml:space="preserve">Criteri generali in materia di destinazione delle risorse stabili e variabili. Riprende per gran parte il testo dell’art. 6 del precedente CID. Vengono ripresi alcuni commi del CCNL art. 79 per ribadire la struttura generale di costituzione ed utilizzo del fondo. Come previsto dal CCNL, gli istituti retributivi fissi e mensilizzati devono essere finanziati interamente dalla parte stabile delle risorse.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6</w:t>
        <w:tab/>
        <w:t xml:space="preserve">Disciplina i premi correlati alla performance. Questo vengono distribuiti fra le aree dirigenziali nella proporzione dell’80% in base al numero dei dipendenti e del 20% in base alla ponderazione degli obiettivi. La liquidazione per ciascuna area avviene nella stessa percentuale della realizzazione degli obiettivi del PIAO. La liquidazione per ciascun dipendente avviene in proporzione al punteggio ottenuto nella scheda di valutazione. Si conferma l’attuale disciplina in materia di maggiorazione e differenziazione del premio individuale (art. 81 del CCNL).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7</w:t>
        <w:tab/>
        <w:t>Armonizzazione dei compensi. Come nel precedente CID, i compensi istituiti da specifiche disposizioni di legge abbattono il compenso di produttività individuale, a partire dalla soglia di 3.000 euro, fino ad abbatterlo completamente se di importo superiore a 10.000.</w:t>
        <w:tab/>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8</w:t>
        <w:tab/>
        <w:t xml:space="preserve">Progetti speciali. L’Amministrazione, in deroga alla disciplina generale dell’art. 6, può finanziare, con la parte integrativa e facoltativa del Fondo, specifici obiettivi del PIAO. In tal caso, i relativi fondi sono suddivisi fra i dipendenti con calcolo separato, in base all’effettivo contributo di ciascun dipendente alla loro realizzazione.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9</w:t>
        <w:tab/>
        <w:t xml:space="preserve">Le parti si impegnano a rivedere, entro 180 giorni dalla sottoscrizione del CID, la disciplina degli istituti retributivi previsti da specifiche disposizioni di legge. Prioritaria è la disciplina del nuovo incentivo funzioni tecniche, così come configurato nel nuovo Codice degli Appalti Pubblici.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10</w:t>
        <w:tab/>
        <w:t xml:space="preserve">La misura della retribuzione di risultato delle posizioni organizzative (oggi “incaricati di elevata qualificazione”) è  fissata a livello di Ente in misura pari al 15% di quanto complessivamente destinato al fondo trattamento accessorio delle stesse, confermando la disciplina vigente.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11</w:t>
        <w:tab/>
        <w:t xml:space="preserve">Contiene la disciplina delle progressioni economiche orizzontali (PEO) nella categoria, per l’attribuzione del differenziale stipendiale istituito dal CCNL 2022. Se ne illustrano di seguito i punti salienti. </w:t>
      </w:r>
    </w:p>
    <w:p>
      <w:pPr>
        <w:pStyle w:val="BodyTextIndent2"/>
        <w:ind w:left="1260" w:hanging="1260"/>
        <w:rPr>
          <w:rFonts w:ascii="Times New Roman" w:hAnsi="Times New Roman"/>
        </w:rPr>
      </w:pPr>
      <w:r>
        <w:rPr>
          <w:rFonts w:ascii="Times New Roman" w:hAnsi="Times New Roman"/>
        </w:rPr>
      </w:r>
    </w:p>
    <w:p>
      <w:pPr>
        <w:pStyle w:val="BodyTextIndent2"/>
        <w:widowControl/>
        <w:suppressAutoHyphens w:val="false"/>
        <w:bidi w:val="0"/>
        <w:ind w:left="0" w:right="0" w:hanging="0"/>
        <w:jc w:val="both"/>
        <w:rPr/>
      </w:pPr>
      <w:r>
        <w:rPr>
          <w:rFonts w:ascii="Times New Roman" w:hAnsi="Times New Roman"/>
        </w:rPr>
        <w:t xml:space="preserve">Per partecipare alle selezioni per le PEO i dipendenti dovranno, nel biennio 2021-2022: non aver svolto progressioni economiche;  non aver ricevuto sanzioni disciplinari superiori alla multa; aver ricevuto sempre valutazioni individuali positive (n. 24 punti sui 40 disponibili). </w:t>
      </w:r>
    </w:p>
    <w:p>
      <w:pPr>
        <w:pStyle w:val="BodyTextIndent2"/>
        <w:widowControl/>
        <w:suppressAutoHyphens w:val="false"/>
        <w:bidi w:val="0"/>
        <w:ind w:left="0" w:right="0" w:hanging="0"/>
        <w:jc w:val="both"/>
        <w:rPr/>
      </w:pPr>
      <w:r>
        <w:rPr>
          <w:rFonts w:ascii="Times New Roman" w:hAnsi="Times New Roman"/>
        </w:rPr>
        <w:t xml:space="preserve">Fermo restando il principio secondo cui le selezioni dovranno svolgersi annualmente, il loro numero sarà definito nell’accordo annuale di ripartizione del Fondo. Per la annualità 2023 viene  finanziata la progressione del 48% del personale avente diritto. Viene dettata una disposizione programmatica, secondo cui nel 2025 l’importo complessivo della quota di fondo risorse decentrate destinata alle PEO sarà pari ad almeno 710.000 euro, a fronte dei 475.000 destinati nel 2023 prima delle PEO. Per le PEO 2023-2025 si destina quindi una maggior quota di fondo pari a 235.000 euro. </w:t>
      </w:r>
    </w:p>
    <w:p>
      <w:pPr>
        <w:pStyle w:val="BodyTextIndent2"/>
        <w:widowControl/>
        <w:suppressAutoHyphens w:val="false"/>
        <w:bidi w:val="0"/>
        <w:ind w:left="0" w:right="0" w:hanging="0"/>
        <w:jc w:val="both"/>
        <w:rPr/>
      </w:pPr>
      <w:r>
        <w:rPr>
          <w:rFonts w:ascii="Times New Roman" w:hAnsi="Times New Roman"/>
        </w:rPr>
        <w:t>Le graduatorie vengono formulate per area di inquadramento e, subordinatamente, soggetto  valutatore. Pertanto, saranno formulate n. 4 graduatorie per ciascun dirigente comunale. Ciò per sterilizzare il diverso stile valutativo dei dirigenti stessi.</w:t>
      </w:r>
    </w:p>
    <w:p>
      <w:pPr>
        <w:pStyle w:val="BodyTextIndent2"/>
        <w:widowControl/>
        <w:suppressAutoHyphens w:val="false"/>
        <w:bidi w:val="0"/>
        <w:ind w:left="0" w:right="0" w:hanging="0"/>
        <w:jc w:val="both"/>
        <w:rPr/>
      </w:pPr>
      <w:r>
        <w:rPr>
          <w:rFonts w:ascii="Times New Roman" w:hAnsi="Times New Roman"/>
        </w:rPr>
        <w:t xml:space="preserve">Il punteggio vienen attribuito in base ai seguenti criteri: </w:t>
      </w:r>
    </w:p>
    <w:p>
      <w:pPr>
        <w:pStyle w:val="BodyTextIndent2"/>
        <w:widowControl/>
        <w:suppressAutoHyphens w:val="false"/>
        <w:bidi w:val="0"/>
        <w:ind w:left="0" w:right="0" w:hanging="0"/>
        <w:jc w:val="both"/>
        <w:rPr/>
      </w:pPr>
      <w:r>
        <w:rPr>
          <w:rFonts w:ascii="Times New Roman" w:hAnsi="Times New Roman"/>
        </w:rPr>
        <w:t xml:space="preserve">65 punti in base alla media triennale delle valutazioni dei comportamenti individuali; </w:t>
      </w:r>
    </w:p>
    <w:p>
      <w:pPr>
        <w:pStyle w:val="BodyTextIndent2"/>
        <w:widowControl/>
        <w:suppressAutoHyphens w:val="false"/>
        <w:bidi w:val="0"/>
        <w:ind w:left="0" w:right="0" w:hanging="0"/>
        <w:jc w:val="both"/>
        <w:rPr/>
      </w:pPr>
      <w:r>
        <w:rPr>
          <w:rFonts w:ascii="Times New Roman" w:hAnsi="Times New Roman"/>
        </w:rPr>
        <w:t xml:space="preserve">30 punti in base alla esperienza acquisita nel profilo professionale di appartenenza (compresi periodi svolti come COCOCO); </w:t>
      </w:r>
    </w:p>
    <w:p>
      <w:pPr>
        <w:pStyle w:val="BodyTextIndent2"/>
        <w:widowControl/>
        <w:suppressAutoHyphens w:val="false"/>
        <w:bidi w:val="0"/>
        <w:ind w:left="0" w:right="0" w:hanging="0"/>
        <w:jc w:val="both"/>
        <w:rPr/>
      </w:pPr>
      <w:r>
        <w:rPr>
          <w:rFonts w:ascii="Times New Roman" w:hAnsi="Times New Roman"/>
        </w:rPr>
        <w:t xml:space="preserve">5 punti in base a titoli culturali e di elevata formazione.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12</w:t>
        <w:tab/>
        <w:t xml:space="preserve">Welfare integrativo. Si confermano le prestazioni già svolte ai sensi del precedente contratto integrativo. Nei prossimi accordi annuali di ripartizione sarà verificata la possibilità di finanziare misure di sostegno a carattere finanziario, attualmente non presenti.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13</w:t>
        <w:tab/>
        <w:t xml:space="preserve">Gli articoli da 13 a 19 disciplinano il sistema delle indennità contrattuali previste dal CCNL. Vengono confermati struttura generale e presupposti come fissati nel  precedente CID. Per la indennità specifiche responsabilità vengono estese le fattispecie previste, come da CCNL 2022. Tutte le misure unitarie delle indennità vengono incrementate del 10%. Viene disciplinato in linea generale l’incentivo in favore del personale incaricato di docenza interna, che potrà essere finanziato dai prossimi accordi di ripartizione del fondo. </w:t>
      </w:r>
    </w:p>
    <w:p>
      <w:pPr>
        <w:pStyle w:val="BodyTextIndent2"/>
        <w:ind w:left="1260" w:hanging="1260"/>
        <w:rPr>
          <w:rFonts w:ascii="Times New Roman" w:hAnsi="Times New Roman"/>
        </w:rPr>
      </w:pPr>
      <w:r>
        <w:rPr>
          <w:rFonts w:ascii="Times New Roman" w:hAnsi="Times New Roman"/>
        </w:rPr>
      </w:r>
    </w:p>
    <w:p>
      <w:pPr>
        <w:pStyle w:val="BodyTextIndent2"/>
        <w:ind w:left="1260" w:hanging="1260"/>
        <w:jc w:val="left"/>
        <w:rPr/>
      </w:pPr>
      <w:r>
        <w:rPr>
          <w:rFonts w:ascii="Times New Roman" w:hAnsi="Times New Roman"/>
        </w:rPr>
        <w:t>Articolo 20</w:t>
        <w:tab/>
        <w:t xml:space="preserve">Viene quantificato il contributo datoriale pro-capite in favore del Fondo previdenza complementare della Polizia Locale, nell’importo di €  1.000. Tale previsione è coerente con quella del bilancio preventivo in corso di approvazione sullo specifico capitolo di competenza (art. 1220 -101) che finanzia una spesa di € 42.000, corrispondente all’organico della P.M. moltiplicato per l’importo pattuito.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21</w:t>
        <w:tab/>
        <w:t xml:space="preserve">Si applica l’art. 87 del CCNL 2022, prevedendo un compenso unitario di € 350 per ogni settimana di attività ulteriore rispetto a quelle ordinariamente definite nel calendario scolastico.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22</w:t>
        <w:tab/>
        <w:t xml:space="preserve">L’Amministrazione si impegna ad individuare l’elenco dei dipendenti cui viene richiesta l’abilitazione o l’iscrizione agli albi professionali. Il CCNL 2022, per la prima volta, contempla una sezione specifica per tale personale cd. Ordinistico, al quale per ora vengono riconosciute  l’applicazione dell’incremento del differenziale stipendiale previsto dall’art. 102 del CCNL e la formazione continua prevista dai rispettivi ordini.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23</w:t>
        <w:tab/>
        <w:t xml:space="preserve">Gli artt.da 23 a 30 compongono il Titolo IX del contratto e disciplinano gli istituti connessi con l’articolazione oraria della prestazione lavorativa. Questa parte conferma, per massima parte, la disciplina dettata dal contratto integrativo precedente. Il numero massimo dei turni di reperibilità che possono essere svolti dal singolo lavoratore nell’arco del mese viene innalzato dagli attuali 6 fino a 12, ma su base volontaria. Tale previsione è stata richiesta dal dirigente dell’Area Lavori Pubblici – servizi scolastici. </w:t>
      </w:r>
    </w:p>
    <w:p>
      <w:pPr>
        <w:pStyle w:val="BodyTextIndent2"/>
        <w:ind w:left="1260" w:hanging="1260"/>
        <w:rPr/>
      </w:pPr>
      <w:r>
        <w:rPr>
          <w:rFonts w:ascii="Times New Roman" w:hAnsi="Times New Roman"/>
        </w:rPr>
        <w:t>Articolo 31</w:t>
        <w:tab/>
        <w:t xml:space="preserve">Si identificano le figure, diverse da quelle che svolgono l’orario previsto per la generalità dei dipendenti,  per le quali matura il buono pasto all’inizio od al termine del servizio lavorativo. Si applica la disposizione del CCNL che consente, per la prima volta, di attribuire il buono pasto anche in relazione alle prestazioni lavorative svolte in orario serale con inizio nel pomeriggio. Il turno serale deve però coprire interamente la fascia 19-21. </w:t>
      </w:r>
    </w:p>
    <w:p>
      <w:pPr>
        <w:pStyle w:val="BodyTextIndent2"/>
        <w:ind w:left="1260" w:hanging="1260"/>
        <w:rPr/>
      </w:pPr>
      <w:r>
        <w:rPr>
          <w:rFonts w:ascii="Times New Roman" w:hAnsi="Times New Roman"/>
        </w:rPr>
        <w:t>Articolo 32</w:t>
        <w:tab/>
        <w:t xml:space="preserve">Questo articolo ed il successivo recano le procedure di incontro e consultazione in merito alle problematiche della salute e sicurezza, delle innovazioni tecnologiche.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 xml:space="preserve">Articolo 34      In merito al lavoro agile ed a quello da remoto, si specifica che non potranno essere percepite le indennità legate alla presenza in servizio. </w:t>
      </w:r>
    </w:p>
    <w:p>
      <w:pPr>
        <w:pStyle w:val="BodyTextIndent2"/>
        <w:ind w:left="1260" w:hanging="1260"/>
        <w:rPr>
          <w:rFonts w:ascii="Times New Roman" w:hAnsi="Times New Roman"/>
        </w:rPr>
      </w:pPr>
      <w:r>
        <w:rPr>
          <w:rFonts w:ascii="Times New Roman" w:hAnsi="Times New Roman"/>
        </w:rPr>
      </w:r>
    </w:p>
    <w:p>
      <w:pPr>
        <w:pStyle w:val="BodyTextIndent2"/>
        <w:ind w:left="1260" w:hanging="1260"/>
        <w:rPr/>
      </w:pPr>
      <w:r>
        <w:rPr>
          <w:rFonts w:ascii="Times New Roman" w:hAnsi="Times New Roman"/>
        </w:rPr>
        <w:t>Articolo 35</w:t>
        <w:tab/>
        <w:t xml:space="preserve">Si conferma la disciplina previgente in materia di diritto allo sciopero. </w:t>
      </w:r>
    </w:p>
    <w:p>
      <w:pPr>
        <w:pStyle w:val="BodyTextIndent2"/>
        <w:ind w:left="1260" w:hanging="1260"/>
        <w:rPr>
          <w:rFonts w:ascii="Times New Roman" w:hAnsi="Times New Roman"/>
        </w:rPr>
      </w:pPr>
      <w:r>
        <w:rPr>
          <w:rFonts w:ascii="Times New Roman" w:hAnsi="Times New Roman"/>
        </w:rPr>
      </w:r>
    </w:p>
    <w:p>
      <w:pPr>
        <w:pStyle w:val="BodyTextIndent2"/>
        <w:ind w:left="0" w:hanging="0"/>
        <w:rPr/>
      </w:pPr>
      <w:r>
        <w:rPr>
          <w:rFonts w:ascii="Times New Roman" w:hAnsi="Times New Roman"/>
          <w:u w:val="single"/>
        </w:rPr>
        <w:t>B) quadro di sintesi delle modalità di utilizzo delle risorse</w:t>
      </w:r>
    </w:p>
    <w:p>
      <w:pPr>
        <w:pStyle w:val="BodyTextIndent2"/>
        <w:ind w:left="0" w:hanging="0"/>
        <w:rPr>
          <w:rFonts w:ascii="Times New Roman" w:hAnsi="Times New Roman"/>
        </w:rPr>
      </w:pPr>
      <w:r>
        <w:rPr>
          <w:rFonts w:ascii="Times New Roman" w:hAnsi="Times New Roman"/>
        </w:rPr>
      </w:r>
    </w:p>
    <w:p>
      <w:pPr>
        <w:pStyle w:val="BodyTextIndent2"/>
        <w:ind w:left="0" w:hanging="0"/>
        <w:rPr>
          <w:i w:val="false"/>
          <w:i w:val="false"/>
          <w:iCs w:val="false"/>
        </w:rPr>
      </w:pPr>
      <w:r>
        <w:rPr>
          <w:rFonts w:ascii="Times New Roman" w:hAnsi="Times New Roman"/>
          <w:i w:val="false"/>
          <w:iCs w:val="false"/>
        </w:rPr>
        <w:t>Gli istituti connessi con l’organizzazione strutturale dell’Ente, col suo sistema dei servizi e delle responsabilità, nonché quelli a carattere retributivo, fisso e continuativo, sono finanziati con la parte stabile del fondo.</w:t>
        <w:br/>
        <w:t xml:space="preserve">Anche nell’annualità di massimo prelievo per lo svolgimento delle progressioni economiche (2025) non sarà necessario effettuare integrazioni alla parte variabile per assicurare l’ordinario svolgimento delle attività dell’Ente e l’assolvimento degli obblighi retributivi contrattuali. Se ne fornisce evidenza con la seguente tabella: </w:t>
      </w:r>
    </w:p>
    <w:p>
      <w:pPr>
        <w:pStyle w:val="BodyTextIndent2"/>
        <w:ind w:left="0" w:hanging="0"/>
        <w:rPr>
          <w:rFonts w:ascii="Times New Roman" w:hAnsi="Times New Roman"/>
        </w:rPr>
      </w:pPr>
      <w:r>
        <w:rPr>
          <w:rFonts w:ascii="Times New Roman" w:hAnsi="Times New Roman"/>
        </w:rPr>
      </w:r>
    </w:p>
    <w:p>
      <w:pPr>
        <w:pStyle w:val="BodyTextIndent2"/>
        <w:ind w:left="0" w:hanging="0"/>
        <w:rPr>
          <w:i w:val="false"/>
          <w:i w:val="false"/>
          <w:iCs w:val="false"/>
        </w:rPr>
      </w:pPr>
      <w:r>
        <w:rPr>
          <w:rFonts w:ascii="Times New Roman" w:hAnsi="Times New Roman"/>
          <w:i w:val="false"/>
          <w:iCs w:val="false"/>
        </w:rPr>
        <w:t xml:space="preserve">Fondo 2025 parte stabile – importo previsto in base a vigente CCNL </w:t>
        <w:tab/>
        <w:tab/>
        <w:t>1.319.770</w:t>
      </w:r>
    </w:p>
    <w:p>
      <w:pPr>
        <w:pStyle w:val="BodyTextIndent2"/>
        <w:ind w:left="0" w:hanging="0"/>
        <w:rPr>
          <w:rFonts w:ascii="Times New Roman" w:hAnsi="Times New Roman"/>
        </w:rPr>
      </w:pPr>
      <w:r>
        <w:rPr>
          <w:rFonts w:ascii="Times New Roman" w:hAnsi="Times New Roman"/>
        </w:rPr>
      </w:r>
    </w:p>
    <w:p>
      <w:pPr>
        <w:pStyle w:val="BodyTextIndent2"/>
        <w:ind w:left="0" w:hanging="0"/>
        <w:rPr>
          <w:i w:val="false"/>
          <w:i w:val="false"/>
          <w:iCs w:val="false"/>
        </w:rPr>
      </w:pPr>
      <w:r>
        <w:rPr>
          <w:rFonts w:ascii="Times New Roman" w:hAnsi="Times New Roman"/>
          <w:i w:val="false"/>
          <w:iCs w:val="false"/>
        </w:rPr>
        <w:t xml:space="preserve">Utilizzi: </w:t>
      </w:r>
    </w:p>
    <w:p>
      <w:pPr>
        <w:pStyle w:val="BodyTextIndent2"/>
        <w:ind w:left="0" w:hanging="0"/>
        <w:rPr>
          <w:rFonts w:ascii="Times New Roman" w:hAnsi="Times New Roman"/>
        </w:rPr>
      </w:pPr>
      <w:r>
        <w:rPr>
          <w:rFonts w:ascii="Times New Roman" w:hAnsi="Times New Roman"/>
        </w:rPr>
      </w:r>
    </w:p>
    <w:p>
      <w:pPr>
        <w:pStyle w:val="BodyTextIndent2"/>
        <w:ind w:left="0" w:hanging="0"/>
        <w:rPr>
          <w:i w:val="false"/>
          <w:i w:val="false"/>
          <w:iCs w:val="false"/>
        </w:rPr>
      </w:pPr>
      <w:r>
        <w:rPr>
          <w:rFonts w:ascii="Times New Roman" w:hAnsi="Times New Roman"/>
          <w:i w:val="false"/>
          <w:iCs w:val="false"/>
        </w:rPr>
        <w:t>Differenziali stipendiali e progressioni economiche:</w:t>
        <w:tab/>
        <w:tab/>
        <w:tab/>
        <w:tab/>
        <w:t>710.000</w:t>
      </w:r>
    </w:p>
    <w:p>
      <w:pPr>
        <w:pStyle w:val="BodyTextIndent2"/>
        <w:ind w:left="0" w:hanging="0"/>
        <w:rPr>
          <w:i w:val="false"/>
          <w:i w:val="false"/>
          <w:iCs w:val="false"/>
        </w:rPr>
      </w:pPr>
      <w:r>
        <w:rPr>
          <w:rFonts w:ascii="Times New Roman" w:hAnsi="Times New Roman"/>
          <w:i w:val="false"/>
          <w:iCs w:val="false"/>
        </w:rPr>
        <w:t>Indennità di comparto</w:t>
        <w:tab/>
        <w:tab/>
        <w:tab/>
        <w:tab/>
        <w:tab/>
        <w:tab/>
        <w:tab/>
        <w:t>156.370</w:t>
      </w:r>
    </w:p>
    <w:p>
      <w:pPr>
        <w:pStyle w:val="BodyTextIndent2"/>
        <w:ind w:left="0" w:hanging="0"/>
        <w:rPr>
          <w:i w:val="false"/>
          <w:i w:val="false"/>
          <w:iCs w:val="false"/>
        </w:rPr>
      </w:pPr>
      <w:r>
        <w:rPr>
          <w:rFonts w:ascii="Times New Roman" w:hAnsi="Times New Roman"/>
          <w:i w:val="false"/>
          <w:iCs w:val="false"/>
        </w:rPr>
        <w:t>Indennità nidi</w:t>
        <w:tab/>
        <w:tab/>
        <w:tab/>
        <w:tab/>
        <w:tab/>
        <w:tab/>
        <w:tab/>
        <w:tab/>
        <w:t>32.193</w:t>
      </w:r>
    </w:p>
    <w:p>
      <w:pPr>
        <w:pStyle w:val="BodyTextIndent2"/>
        <w:ind w:left="0" w:hanging="0"/>
        <w:rPr>
          <w:i w:val="false"/>
          <w:i w:val="false"/>
          <w:iCs w:val="false"/>
        </w:rPr>
      </w:pPr>
      <w:r>
        <w:rPr>
          <w:rFonts w:ascii="Times New Roman" w:hAnsi="Times New Roman"/>
          <w:i w:val="false"/>
          <w:iCs w:val="false"/>
        </w:rPr>
        <w:t>Indennità condizioni lavoro</w:t>
        <w:tab/>
        <w:tab/>
        <w:tab/>
        <w:tab/>
        <w:tab/>
        <w:tab/>
        <w:t>18.360</w:t>
      </w:r>
    </w:p>
    <w:p>
      <w:pPr>
        <w:pStyle w:val="BodyTextIndent2"/>
        <w:ind w:left="0" w:hanging="0"/>
        <w:rPr>
          <w:i w:val="false"/>
          <w:i w:val="false"/>
          <w:iCs w:val="false"/>
        </w:rPr>
      </w:pPr>
      <w:r>
        <w:rPr>
          <w:rFonts w:ascii="Times New Roman" w:hAnsi="Times New Roman"/>
          <w:i w:val="false"/>
          <w:iCs w:val="false"/>
        </w:rPr>
        <w:t>Indennità turno-reperibilità-lavoro domenicale</w:t>
        <w:tab/>
        <w:tab/>
        <w:tab/>
        <w:tab/>
        <w:t>168.000</w:t>
      </w:r>
    </w:p>
    <w:p>
      <w:pPr>
        <w:pStyle w:val="BodyTextIndent2"/>
        <w:ind w:left="0" w:hanging="0"/>
        <w:rPr>
          <w:i w:val="false"/>
          <w:i w:val="false"/>
          <w:iCs w:val="false"/>
        </w:rPr>
      </w:pPr>
      <w:r>
        <w:rPr>
          <w:rFonts w:ascii="Times New Roman" w:hAnsi="Times New Roman"/>
          <w:i w:val="false"/>
          <w:iCs w:val="false"/>
        </w:rPr>
        <w:t>Importo minimo compenso performance individuale (30% risorse variabili)</w:t>
        <w:tab/>
        <w:t>28.685</w:t>
      </w:r>
    </w:p>
    <w:p>
      <w:pPr>
        <w:pStyle w:val="BodyTextIndent2"/>
        <w:ind w:left="0" w:hanging="0"/>
        <w:rPr>
          <w:i w:val="false"/>
          <w:i w:val="false"/>
          <w:iCs w:val="false"/>
        </w:rPr>
      </w:pPr>
      <w:r>
        <w:rPr>
          <w:rFonts w:ascii="Times New Roman" w:hAnsi="Times New Roman"/>
          <w:i w:val="false"/>
          <w:iCs w:val="false"/>
        </w:rPr>
        <w:t>Sistema specifiche responsabilità</w:t>
        <w:tab/>
        <w:tab/>
        <w:tab/>
        <w:tab/>
        <w:tab/>
        <w:tab/>
        <w:t>108.000</w:t>
      </w:r>
    </w:p>
    <w:p>
      <w:pPr>
        <w:pStyle w:val="BodyTextIndent2"/>
        <w:ind w:left="0" w:hanging="0"/>
        <w:rPr>
          <w:i w:val="false"/>
          <w:i w:val="false"/>
          <w:iCs w:val="false"/>
        </w:rPr>
      </w:pPr>
      <w:r>
        <w:rPr>
          <w:rFonts w:ascii="Times New Roman" w:hAnsi="Times New Roman"/>
          <w:i w:val="false"/>
          <w:iCs w:val="false"/>
        </w:rPr>
        <w:t xml:space="preserve">Indennità servizio esterno P.M. </w:t>
        <w:tab/>
        <w:tab/>
        <w:tab/>
        <w:tab/>
        <w:tab/>
        <w:tab/>
        <w:t>23.680</w:t>
      </w:r>
    </w:p>
    <w:p>
      <w:pPr>
        <w:pStyle w:val="BodyTextIndent2"/>
        <w:ind w:left="0" w:hanging="0"/>
        <w:rPr>
          <w:rFonts w:ascii="Times New Roman" w:hAnsi="Times New Roman"/>
        </w:rPr>
      </w:pPr>
      <w:r>
        <w:rPr>
          <w:rFonts w:ascii="Times New Roman" w:hAnsi="Times New Roman"/>
        </w:rPr>
      </w:r>
    </w:p>
    <w:p>
      <w:pPr>
        <w:pStyle w:val="BodyTextIndent2"/>
        <w:ind w:left="0" w:hanging="0"/>
        <w:rPr>
          <w:i w:val="false"/>
          <w:i w:val="false"/>
          <w:iCs w:val="false"/>
        </w:rPr>
      </w:pPr>
      <w:r>
        <w:rPr>
          <w:rFonts w:ascii="Times New Roman" w:hAnsi="Times New Roman"/>
          <w:i w:val="false"/>
          <w:iCs w:val="false"/>
        </w:rPr>
        <w:t xml:space="preserve">Totale utilizzi  </w:t>
        <w:tab/>
        <w:tab/>
        <w:tab/>
        <w:tab/>
        <w:tab/>
        <w:tab/>
        <w:tab/>
        <w:tab/>
        <w:t>1.245.288</w:t>
      </w:r>
    </w:p>
    <w:p>
      <w:pPr>
        <w:pStyle w:val="BodyTextIndent2"/>
        <w:ind w:left="0" w:hanging="0"/>
        <w:rPr>
          <w:i w:val="false"/>
          <w:i w:val="false"/>
          <w:iCs w:val="false"/>
        </w:rPr>
      </w:pPr>
      <w:r>
        <w:rPr>
          <w:rFonts w:ascii="Times New Roman" w:hAnsi="Times New Roman"/>
          <w:i w:val="false"/>
          <w:iCs w:val="false"/>
        </w:rPr>
        <w:t>Differenza positiva</w:t>
        <w:tab/>
        <w:tab/>
        <w:tab/>
        <w:tab/>
        <w:tab/>
        <w:tab/>
        <w:tab/>
        <w:t xml:space="preserve">     74.482</w:t>
      </w:r>
    </w:p>
    <w:p>
      <w:pPr>
        <w:pStyle w:val="BodyTextIndent2"/>
        <w:ind w:left="0" w:hanging="0"/>
        <w:rPr>
          <w:i w:val="false"/>
          <w:i w:val="false"/>
          <w:iCs w:val="false"/>
        </w:rPr>
      </w:pPr>
      <w:r>
        <w:rPr>
          <w:rFonts w:ascii="Times New Roman" w:hAnsi="Times New Roman"/>
          <w:i w:val="false"/>
          <w:iCs w:val="false"/>
        </w:rPr>
        <w:tab/>
        <w:tab/>
        <w:tab/>
        <w:tab/>
        <w:tab/>
        <w:tab/>
        <w:tab/>
        <w:tab/>
      </w:r>
    </w:p>
    <w:p>
      <w:pPr>
        <w:pStyle w:val="BodyTextIndent2"/>
        <w:ind w:left="0" w:hanging="0"/>
        <w:rPr/>
      </w:pPr>
      <w:r>
        <w:rPr>
          <w:rFonts w:ascii="Times New Roman" w:hAnsi="Times New Roman"/>
          <w:u w:val="single"/>
        </w:rPr>
        <w:t>C) effetti abrogativi impliciti</w:t>
      </w:r>
    </w:p>
    <w:p>
      <w:pPr>
        <w:pStyle w:val="BodyTextIndent2"/>
        <w:ind w:left="0" w:hanging="0"/>
        <w:rPr>
          <w:rFonts w:ascii="Times New Roman" w:hAnsi="Times New Roman"/>
        </w:rPr>
      </w:pPr>
      <w:r>
        <w:rPr>
          <w:rFonts w:ascii="Times New Roman" w:hAnsi="Times New Roman"/>
        </w:rPr>
        <w:t xml:space="preserve">Non si determinano effetti abrogativi impliciti. L’abrogazione dei precedenti strumenti contrattuali non richiamati è esplicita.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D) illustrazione e specifica attestazione della coerenza con le previsioni in materia di meritocrazia e premialità</w:t>
      </w:r>
    </w:p>
    <w:p>
      <w:pPr>
        <w:pStyle w:val="BodyTextIndent2"/>
        <w:ind w:left="0" w:hanging="0"/>
        <w:rPr/>
      </w:pPr>
      <w:r>
        <w:rPr>
          <w:rFonts w:ascii="Times New Roman" w:hAnsi="Times New Roman"/>
        </w:rPr>
        <w:t xml:space="preserve">Le previsioni sono coerenti con le disposizioni in materia di meritocrazia e premialità in quanto verso il personale si applica il regolamento recante la disciplina sulla misurazione, valutazione, rendicontazione e trasparenza della performance. L’erogazione dei relativi compensi è direttamente proporzionale alla valutazione della performance organizzativa ed individuale.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E) illustrazione e specifica attestazione della coerenza con il principio di selettività delle progressioni economiche;</w:t>
      </w:r>
    </w:p>
    <w:p>
      <w:pPr>
        <w:pStyle w:val="BodyTextIndent2"/>
        <w:ind w:left="0" w:hanging="0"/>
        <w:jc w:val="both"/>
        <w:rPr>
          <w:rFonts w:ascii="Times New Roman" w:hAnsi="Times New Roman"/>
        </w:rPr>
      </w:pPr>
      <w:r>
        <w:rPr>
          <w:rFonts w:ascii="Times New Roman" w:hAnsi="Times New Roman"/>
        </w:rPr>
      </w:r>
    </w:p>
    <w:p>
      <w:pPr>
        <w:pStyle w:val="BodyTextIndent2"/>
        <w:ind w:left="0" w:hanging="0"/>
        <w:jc w:val="both"/>
        <w:rPr/>
      </w:pPr>
      <w:r>
        <w:rPr>
          <w:rFonts w:ascii="Times New Roman" w:hAnsi="Times New Roman"/>
        </w:rPr>
        <w:t xml:space="preserve">Il CID prevede per l’anno </w:t>
      </w:r>
      <w:r>
        <w:rPr>
          <w:rFonts w:ascii="Times New Roman" w:hAnsi="Times New Roman"/>
          <w:b/>
          <w:bCs/>
        </w:rPr>
        <w:t>2023</w:t>
      </w:r>
      <w:r>
        <w:rPr>
          <w:rFonts w:ascii="Times New Roman" w:hAnsi="Times New Roman"/>
        </w:rPr>
        <w:t xml:space="preserve"> l’effettuazione di una PEO per il </w:t>
      </w:r>
      <w:r>
        <w:rPr>
          <w:rFonts w:ascii="Times New Roman" w:hAnsi="Times New Roman"/>
          <w:b/>
          <w:bCs/>
        </w:rPr>
        <w:t xml:space="preserve">48% </w:t>
      </w:r>
      <w:r>
        <w:rPr>
          <w:rFonts w:ascii="Times New Roman" w:hAnsi="Times New Roman"/>
        </w:rPr>
        <w:t xml:space="preserve">del personale avente diritto (in servizio al 31.12.2020), pertanto entro la quota limitata del 50% fissata dall’ARAN e dal M.E.F. (v. per tutte Circ. MEF n. 18 del 22/05/2018). </w:t>
        <w:br/>
      </w:r>
    </w:p>
    <w:p>
      <w:pPr>
        <w:pStyle w:val="BodyTextIndent2"/>
        <w:ind w:left="0" w:hanging="0"/>
        <w:jc w:val="left"/>
        <w:rPr/>
      </w:pPr>
      <w:r>
        <w:rPr>
          <w:rFonts w:ascii="Times New Roman" w:hAnsi="Times New Roman"/>
        </w:rPr>
        <w:t xml:space="preserve">In base ai requisiti di partecipazione fissati dal CID, nel </w:t>
      </w:r>
      <w:r>
        <w:rPr>
          <w:rFonts w:ascii="Times New Roman" w:hAnsi="Times New Roman"/>
          <w:b/>
          <w:bCs/>
        </w:rPr>
        <w:t xml:space="preserve">2024 </w:t>
      </w:r>
      <w:r>
        <w:rPr>
          <w:rFonts w:ascii="Times New Roman" w:hAnsi="Times New Roman"/>
        </w:rPr>
        <w:t xml:space="preserve">la PEO potrà essere attribuita al </w:t>
      </w:r>
      <w:r>
        <w:rPr>
          <w:rFonts w:ascii="Times New Roman" w:hAnsi="Times New Roman"/>
          <w:b/>
          <w:bCs/>
        </w:rPr>
        <w:t>26</w:t>
      </w:r>
      <w:r>
        <w:rPr>
          <w:rFonts w:ascii="Times New Roman" w:hAnsi="Times New Roman"/>
        </w:rPr>
        <w:t>% del personale in servizio al 31.12.2021, misura pari al 50% di quel  52% del personale che non ha conseguito la PEO nel 2023.</w:t>
        <w:br/>
        <w:br/>
        <w:t xml:space="preserve">Nel </w:t>
      </w:r>
      <w:r>
        <w:rPr>
          <w:rFonts w:ascii="Times New Roman" w:hAnsi="Times New Roman"/>
          <w:b/>
          <w:bCs/>
        </w:rPr>
        <w:t>2025</w:t>
      </w:r>
      <w:r>
        <w:rPr>
          <w:rFonts w:ascii="Times New Roman" w:hAnsi="Times New Roman"/>
        </w:rPr>
        <w:t>, stante il finanziamento previsto, la PEO potrà essere attribuita, in base ai calcoli dell’ufficio personale, ad un numero massimo di 60 dipendenti. Tale numero corrisponderà al</w:t>
      </w:r>
      <w:r>
        <w:rPr>
          <w:rFonts w:ascii="Times New Roman" w:hAnsi="Times New Roman"/>
          <w:b/>
          <w:bCs/>
        </w:rPr>
        <w:t xml:space="preserve"> 33</w:t>
      </w:r>
      <w:r>
        <w:rPr>
          <w:rFonts w:ascii="Times New Roman" w:hAnsi="Times New Roman"/>
        </w:rPr>
        <w:t xml:space="preserve">% della platea che in quella sede potrà concorrere (180 dipendenti). , pari ai circa 120 dipendenti che avevano svolto la PEO nel 2023 e che ora tornano a poter concorrere per conseguirne una seconda (se non cessati nel frattempo), sommati ai circa 60 dipendenti che non avranno svolto la PEO nel biennio precedente (100%-48%-26%= 26% del personale) o che avranno maturato i requisiti per concorrere solo al 1.1.2025 (in servizio al 31.12.2023).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t xml:space="preserve">I conteggi sopra esposti sono ovviamente frutto di stime; la limitatezza delle PEO dovrà essere verificata ed asseverata ogni anno in sede di negoziazione dell’accordo di ripartizione delle risorse decentrate.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F) illustrazione dei risultati attesi dalla sottoscrizione del contratto integrativo, in correlazione con gli strumenti di programmazione gestionale</w:t>
      </w:r>
    </w:p>
    <w:p>
      <w:pPr>
        <w:pStyle w:val="BodyTextIndent2"/>
        <w:ind w:left="0" w:hanging="0"/>
        <w:rPr>
          <w:rFonts w:ascii="Times New Roman" w:hAnsi="Times New Roman"/>
        </w:rPr>
      </w:pPr>
      <w:r>
        <w:rPr>
          <w:rFonts w:ascii="Times New Roman" w:hAnsi="Times New Roman"/>
        </w:rPr>
        <w:t xml:space="preserve">Il contratto ha carattere normativo generale e non è correlato a specifici strumenti annuali di programmazione gestionale. Tuttavia, dalla sua  sottoscrizione ci si attende un significativo incremento della produttività del personale, per le seguenti motivazioni: </w:t>
      </w:r>
    </w:p>
    <w:p>
      <w:pPr>
        <w:pStyle w:val="BodyTextIndent2"/>
        <w:ind w:left="0" w:hanging="0"/>
        <w:rPr>
          <w:rFonts w:ascii="Times New Roman" w:hAnsi="Times New Roman"/>
        </w:rPr>
      </w:pPr>
      <w:r>
        <w:rPr>
          <w:rFonts w:ascii="Times New Roman" w:hAnsi="Times New Roman"/>
        </w:rPr>
      </w:r>
    </w:p>
    <w:p>
      <w:pPr>
        <w:pStyle w:val="BodyTextIndent2"/>
        <w:numPr>
          <w:ilvl w:val="0"/>
          <w:numId w:val="1"/>
        </w:numPr>
        <w:rPr/>
      </w:pPr>
      <w:r>
        <w:rPr>
          <w:rFonts w:ascii="Times New Roman" w:hAnsi="Times New Roman"/>
        </w:rPr>
        <w:t>Le singole aree dirigenziali saranno in grado fin dall’inizio dell’esercizio finanziario di conoscere lo stanziamento previsto per la produttività e l’indennità specifiche responsabilità.</w:t>
      </w:r>
    </w:p>
    <w:p>
      <w:pPr>
        <w:pStyle w:val="BodyTextIndent2"/>
        <w:numPr>
          <w:ilvl w:val="0"/>
          <w:numId w:val="1"/>
        </w:numPr>
        <w:rPr>
          <w:rFonts w:ascii="Times New Roman" w:hAnsi="Times New Roman"/>
        </w:rPr>
      </w:pPr>
      <w:r>
        <w:rPr>
          <w:rFonts w:ascii="Times New Roman" w:hAnsi="Times New Roman"/>
        </w:rPr>
        <w:t>Il compenso incentivante la produttività sarà liquidato in base al grado di raggiungimento degli obiettivi assegnati ed alla qualità della prestazione individuale.</w:t>
      </w:r>
    </w:p>
    <w:p>
      <w:pPr>
        <w:pStyle w:val="BodyTextIndent2"/>
        <w:numPr>
          <w:ilvl w:val="0"/>
          <w:numId w:val="1"/>
        </w:numPr>
        <w:rPr/>
      </w:pPr>
      <w:r>
        <w:rPr>
          <w:rFonts w:ascii="Times New Roman" w:hAnsi="Times New Roman"/>
        </w:rPr>
        <w:t xml:space="preserve">Sono previsti meccanismi di maggiore partecipazione ed informazione delle organizzazioni sindacali nel quadro del processo di programmazione, anche per prevenire possibili conflitti (v. istituzione dell’OPI). </w:t>
      </w:r>
    </w:p>
    <w:p>
      <w:pPr>
        <w:pStyle w:val="BodyTextIndent2"/>
        <w:numPr>
          <w:ilvl w:val="0"/>
          <w:numId w:val="1"/>
        </w:numPr>
        <w:rPr>
          <w:rFonts w:ascii="Times New Roman" w:hAnsi="Times New Roman"/>
        </w:rPr>
      </w:pPr>
      <w:r>
        <w:rPr>
          <w:rFonts w:ascii="Times New Roman" w:hAnsi="Times New Roman"/>
        </w:rPr>
        <w:t>E’ stata confermata, per il dirigente, la possibilità di compensare l’attribuzione di specifiche responsabilità di procedimento a personale non in possesso della qualifica di responsabile di servizio. Come già verificato nell’esperienza del CCDI 2013-2015 e 2016-18, ne risultano favorite la flessibilità operativa e l’ampliamento del “quadro direttivo” dell’amministrazione, con  maggiore condivisione degli indirizzi e delle informazioni.</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G) altre informazioni eventualmente ritenute utili</w:t>
      </w:r>
    </w:p>
    <w:p>
      <w:pPr>
        <w:pStyle w:val="BodyTextIndent2"/>
        <w:ind w:left="0" w:hanging="0"/>
        <w:rPr>
          <w:rFonts w:ascii="Times New Roman" w:hAnsi="Times New Roman"/>
        </w:rPr>
      </w:pPr>
      <w:r>
        <w:rPr>
          <w:rFonts w:ascii="Times New Roman" w:hAnsi="Times New Roman"/>
        </w:rPr>
        <w:t>==========</w:t>
      </w:r>
    </w:p>
    <w:p>
      <w:pPr>
        <w:pStyle w:val="Normal"/>
        <w:rPr>
          <w:rFonts w:ascii="Times New Roman" w:hAnsi="Times New Roman"/>
          <w:sz w:val="20"/>
        </w:rPr>
      </w:pPr>
      <w:r>
        <w:rPr>
          <w:rFonts w:ascii="Times New Roman" w:hAnsi="Times New Roman"/>
          <w:sz w:val="20"/>
        </w:rPr>
      </w:r>
    </w:p>
    <w:p>
      <w:pPr>
        <w:pStyle w:val="Normal"/>
        <w:rPr/>
      </w:pPr>
      <w:bookmarkStart w:id="0" w:name="__DdeLink__2174_1697300107"/>
      <w:r>
        <w:rPr>
          <w:rFonts w:ascii="Times New Roman" w:hAnsi="Times New Roman"/>
          <w:sz w:val="20"/>
        </w:rPr>
        <w:t>Foligno, 18/12/2023</w:t>
      </w:r>
    </w:p>
    <w:p>
      <w:pPr>
        <w:pStyle w:val="Normal"/>
        <w:rPr>
          <w:rFonts w:ascii="Times New Roman" w:hAnsi="Times New Roman"/>
          <w:sz w:val="20"/>
        </w:rPr>
      </w:pPr>
      <w:r>
        <w:rPr>
          <w:rFonts w:ascii="Times New Roman" w:hAnsi="Times New Roman"/>
          <w:sz w:val="20"/>
        </w:rPr>
      </w:r>
    </w:p>
    <w:p>
      <w:pPr>
        <w:pStyle w:val="Normal"/>
        <w:rPr/>
      </w:pPr>
      <w:r>
        <w:rPr>
          <w:rFonts w:ascii="Times New Roman" w:hAnsi="Times New Roman"/>
          <w:sz w:val="20"/>
        </w:rPr>
        <w:t>IL DIRIGENTE AREA SERVIZI GENERALI</w:t>
      </w:r>
    </w:p>
    <w:p>
      <w:pPr>
        <w:pStyle w:val="Normal"/>
        <w:rPr/>
      </w:pPr>
      <w:r>
        <w:rPr>
          <w:rFonts w:ascii="Times New Roman" w:hAnsi="Times New Roman"/>
          <w:sz w:val="20"/>
        </w:rPr>
        <w:t>Presidente della delegazione trattante di parte pubblica</w:t>
      </w:r>
    </w:p>
    <w:p>
      <w:pPr>
        <w:pStyle w:val="Normal"/>
        <w:spacing w:before="0" w:after="240"/>
        <w:jc w:val="left"/>
        <w:rPr/>
      </w:pPr>
      <w:r>
        <w:rPr>
          <w:rFonts w:ascii="Times New Roman" w:hAnsi="Times New Roman"/>
          <w:sz w:val="20"/>
        </w:rPr>
        <w:t xml:space="preserve">Dr.ssa </w:t>
      </w:r>
      <w:r>
        <w:rPr>
          <w:rFonts w:ascii="Times New Roman" w:hAnsi="Times New Roman"/>
          <w:b w:val="false"/>
          <w:bCs w:val="false"/>
          <w:sz w:val="20"/>
          <w:szCs w:val="24"/>
          <w:lang w:eastAsia="ar-SA"/>
        </w:rPr>
        <w:t>Arianna Lattanzi</w:t>
      </w:r>
      <w:bookmarkEnd w:id="0"/>
      <w:r>
        <w:br w:type="page"/>
      </w:r>
    </w:p>
    <w:p>
      <w:pPr>
        <w:pStyle w:val="Normal"/>
        <w:spacing w:before="0" w:after="240"/>
        <w:jc w:val="left"/>
        <w:rPr>
          <w:rFonts w:ascii="Times New Roman" w:hAnsi="Times New Roman"/>
          <w:b/>
          <w:b/>
          <w:sz w:val="28"/>
        </w:rPr>
      </w:pPr>
      <w:r>
        <w:rPr>
          <w:rFonts w:ascii="Times New Roman" w:hAnsi="Times New Roman"/>
          <w:sz w:val="28"/>
        </w:rPr>
        <w:t xml:space="preserve">Contratto collettivo decentrato integrativo ai sensi degli artt. 4 e 5 del </w:t>
      </w:r>
      <w:r>
        <w:rPr>
          <w:rFonts w:ascii="Times New Roman" w:hAnsi="Times New Roman"/>
          <w:caps/>
          <w:sz w:val="28"/>
        </w:rPr>
        <w:t xml:space="preserve">CCNL 1/4/1999, </w:t>
      </w:r>
      <w:r>
        <w:rPr>
          <w:rFonts w:ascii="Times New Roman" w:hAnsi="Times New Roman"/>
          <w:sz w:val="28"/>
        </w:rPr>
        <w:t>stipulato in attuazione dell’art. 65 del D.Lgs. n. 150/2009.</w:t>
      </w:r>
      <w:r>
        <w:rPr>
          <w:rFonts w:ascii="Times New Roman" w:hAnsi="Times New Roman"/>
          <w:b/>
          <w:sz w:val="28"/>
        </w:rPr>
        <w:t xml:space="preserve"> Relazione tecnico-finanziaria</w:t>
      </w:r>
    </w:p>
    <w:p>
      <w:pPr>
        <w:pStyle w:val="Normal"/>
        <w:shd w:val="clear" w:color="auto" w:fill="FFFFFF"/>
        <w:spacing w:before="0" w:after="240"/>
        <w:rPr>
          <w:b/>
          <w:b/>
        </w:rPr>
      </w:pPr>
      <w:r>
        <w:rPr>
          <w:b/>
        </w:rPr>
        <w:t>Modulo I – La costituzione del fondo per la contrattazione integrativa</w:t>
      </w:r>
    </w:p>
    <w:p>
      <w:pPr>
        <w:pStyle w:val="BodyTextIndent2"/>
        <w:ind w:left="0" w:hanging="0"/>
        <w:rPr>
          <w:rFonts w:ascii="Times New Roman" w:hAnsi="Times New Roman"/>
          <w:u w:val="none"/>
        </w:rPr>
      </w:pPr>
      <w:r>
        <w:rPr>
          <w:rFonts w:ascii="Times New Roman" w:hAnsi="Times New Roman"/>
          <w:u w:val="none"/>
        </w:rPr>
        <w:t xml:space="preserve">Conformemente al sistema del trattamento accessorio e delle relazioni sindacali previsto dal d.Lgs. 165/2001 e dal CCNL, il contratto integrativo non interviene sulla costituzione del fondo risorse decentrate. </w:t>
      </w:r>
    </w:p>
    <w:p>
      <w:pPr>
        <w:pStyle w:val="BodyTextIndent2"/>
        <w:ind w:left="0" w:hanging="0"/>
        <w:rPr>
          <w:rFonts w:ascii="Times New Roman" w:hAnsi="Times New Roman"/>
          <w:u w:val="none"/>
        </w:rPr>
      </w:pPr>
      <w:r>
        <w:rPr>
          <w:rFonts w:ascii="Times New Roman" w:hAnsi="Times New Roman"/>
          <w:u w:val="none"/>
        </w:rPr>
        <w:t xml:space="preserve">Il fondo 2023 è stato costituito con la determinazione dirigenziale n. 918 del 7 giugno scorso e positivamente certificato dal Collegio con il verbale n. 67 del 7 luglio successivo. Tale costituzione resta ferma. </w:t>
      </w:r>
    </w:p>
    <w:p>
      <w:pPr>
        <w:pStyle w:val="BodyTextIndent2"/>
        <w:ind w:left="0" w:hanging="0"/>
        <w:rPr>
          <w:rFonts w:ascii="Times New Roman" w:hAnsi="Times New Roman"/>
          <w:u w:val="none"/>
        </w:rPr>
      </w:pPr>
      <w:r>
        <w:rPr>
          <w:rFonts w:ascii="Times New Roman" w:hAnsi="Times New Roman"/>
          <w:u w:val="none"/>
        </w:rPr>
        <w:t xml:space="preserve">Per una più agevole comprensione della parte relativa all’utilizzo, se ne riporta il prospetto finale: </w:t>
      </w:r>
    </w:p>
    <w:p>
      <w:pPr>
        <w:pStyle w:val="BodyTextIndent2"/>
        <w:ind w:left="0" w:hanging="0"/>
        <w:rPr>
          <w:rFonts w:ascii="Times New Roman" w:hAnsi="Times New Roman"/>
          <w:u w:val="none"/>
        </w:rPr>
      </w:pPr>
      <w:r>
        <w:rPr>
          <w:rFonts w:ascii="Times New Roman" w:hAnsi="Times New Roman"/>
          <w:u w:val="none"/>
        </w:rPr>
      </w:r>
    </w:p>
    <w:p>
      <w:pPr>
        <w:pStyle w:val="BodyTextIndent2"/>
        <w:ind w:left="0" w:hanging="0"/>
        <w:rPr>
          <w:rFonts w:ascii="Times New Roman" w:hAnsi="Times New Roman"/>
          <w:u w:val="none"/>
        </w:rPr>
      </w:pPr>
      <w:r>
        <w:rPr>
          <w:rFonts w:ascii="Times New Roman" w:hAnsi="Times New Roman"/>
          <w:u w:val="none"/>
        </w:rPr>
      </w:r>
    </w:p>
    <w:tbl>
      <w:tblPr>
        <w:tblW w:w="786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5172"/>
        <w:gridCol w:w="2695"/>
      </w:tblGrid>
      <w:tr>
        <w:trPr/>
        <w:tc>
          <w:tcPr>
            <w:tcW w:w="5172" w:type="dxa"/>
            <w:tcBorders>
              <w:top w:val="single" w:sz="4" w:space="0" w:color="000000"/>
              <w:left w:val="single" w:sz="4" w:space="0" w:color="000000"/>
              <w:bottom w:val="single" w:sz="4" w:space="0" w:color="000000"/>
              <w:insideH w:val="single" w:sz="4" w:space="0" w:color="000000"/>
            </w:tcBorders>
            <w:shd w:fill="FFFFFF" w:val="clear"/>
          </w:tcPr>
          <w:p>
            <w:pPr>
              <w:pStyle w:val="Rientrocorpodeltesto2"/>
              <w:ind w:left="0" w:right="0" w:hanging="0"/>
              <w:jc w:val="center"/>
              <w:rPr>
                <w:rFonts w:ascii="Times New Roman" w:hAnsi="Times New Roman" w:cs="Times New Roman"/>
              </w:rPr>
            </w:pPr>
            <w:r>
              <w:rPr>
                <w:rFonts w:cs="Times New Roman" w:ascii="Times New Roman" w:hAnsi="Times New Roman"/>
              </w:rPr>
              <w:t>Descrizione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FFFFF" w:val="clear"/>
          </w:tcPr>
          <w:p>
            <w:pPr>
              <w:pStyle w:val="Rientrocorpodeltesto2"/>
              <w:ind w:left="0" w:right="0" w:hanging="0"/>
              <w:jc w:val="center"/>
              <w:rPr>
                <w:rFonts w:ascii="Times New Roman" w:hAnsi="Times New Roman" w:cs="Times New Roman"/>
              </w:rPr>
            </w:pPr>
            <w:r>
              <w:rPr>
                <w:rFonts w:cs="Times New Roman" w:ascii="Times New Roman" w:hAnsi="Times New Roman"/>
              </w:rPr>
              <w:t>Importo</w:t>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b/>
                <w:b/>
              </w:rPr>
            </w:pPr>
            <w:r>
              <w:rPr>
                <w:rFonts w:cs="Times New Roman" w:ascii="Times New Roman" w:hAnsi="Times New Roman"/>
                <w:b/>
              </w:rPr>
              <w:t>A) Fondo tendenziale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snapToGrid w:val="false"/>
              <w:ind w:left="0" w:right="0" w:hanging="0"/>
              <w:jc w:val="right"/>
              <w:rPr>
                <w:rFonts w:ascii="Times New Roman" w:hAnsi="Times New Roman" w:cs="Times New Roman"/>
                <w:b/>
                <w:b/>
              </w:rPr>
            </w:pPr>
            <w:r>
              <w:rPr>
                <w:rFonts w:cs="Times New Roman" w:ascii="Times New Roman" w:hAnsi="Times New Roman"/>
                <w:b/>
              </w:rPr>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pPr>
            <w:r>
              <w:rPr>
                <w:rFonts w:cs="Times New Roman" w:ascii="Times New Roman" w:hAnsi="Times New Roman"/>
              </w:rPr>
              <w:t xml:space="preserve">Risorse </w:t>
            </w:r>
            <w:r>
              <w:rPr>
                <w:rFonts w:cs="Times New Roman" w:ascii="Times New Roman" w:hAnsi="Times New Roman"/>
                <w:color w:val="000000"/>
              </w:rPr>
              <w:t>fisse aventi carattere di certezza e stabilità</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ind w:left="0" w:right="0" w:hanging="0"/>
              <w:jc w:val="right"/>
              <w:rPr>
                <w:rFonts w:ascii="Times New Roman" w:hAnsi="Times New Roman" w:cs="Times New Roman"/>
              </w:rPr>
            </w:pPr>
            <w:r>
              <w:rPr>
                <w:rFonts w:cs="Times New Roman" w:ascii="Times New Roman" w:hAnsi="Times New Roman"/>
              </w:rPr>
              <w:t>1.297.606</w:t>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rPr>
            </w:pPr>
            <w:r>
              <w:rPr>
                <w:rFonts w:cs="Times New Roman" w:ascii="Times New Roman" w:hAnsi="Times New Roman"/>
              </w:rPr>
              <w:t>Risorse variabili</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ind w:left="0" w:right="0" w:hanging="0"/>
              <w:jc w:val="right"/>
              <w:rPr>
                <w:rFonts w:ascii="Times New Roman" w:hAnsi="Times New Roman" w:cs="Times New Roman"/>
              </w:rPr>
            </w:pPr>
            <w:r>
              <w:rPr>
                <w:rFonts w:cs="Times New Roman" w:ascii="Times New Roman" w:hAnsi="Times New Roman"/>
              </w:rPr>
              <w:t>256.660</w:t>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rPr>
            </w:pPr>
            <w:r>
              <w:rPr>
                <w:rFonts w:cs="Times New Roman" w:ascii="Times New Roman" w:hAnsi="Times New Roman"/>
              </w:rPr>
              <w:t>Totale fondo tendenziale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ind w:left="0" w:right="0" w:hanging="0"/>
              <w:jc w:val="right"/>
              <w:rPr>
                <w:rFonts w:ascii="Times New Roman" w:hAnsi="Times New Roman" w:cs="Times New Roman"/>
              </w:rPr>
            </w:pPr>
            <w:r>
              <w:rPr>
                <w:rFonts w:cs="Times New Roman" w:ascii="Times New Roman" w:hAnsi="Times New Roman"/>
              </w:rPr>
              <w:t>1.554.266</w:t>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b/>
                <w:b/>
              </w:rPr>
            </w:pPr>
            <w:r>
              <w:rPr>
                <w:rFonts w:cs="Times New Roman" w:ascii="Times New Roman" w:hAnsi="Times New Roman"/>
                <w:b/>
              </w:rPr>
              <w:t>B) Decurtazioni del Fondo tendenziale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snapToGrid w:val="false"/>
              <w:ind w:left="0" w:right="0" w:hanging="0"/>
              <w:jc w:val="right"/>
              <w:rPr>
                <w:rFonts w:ascii="Times New Roman" w:hAnsi="Times New Roman" w:cs="Times New Roman"/>
                <w:b/>
                <w:b/>
              </w:rPr>
            </w:pPr>
            <w:r>
              <w:rPr>
                <w:rFonts w:cs="Times New Roman" w:ascii="Times New Roman" w:hAnsi="Times New Roman"/>
                <w:b/>
              </w:rPr>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rPr>
            </w:pPr>
            <w:r>
              <w:rPr>
                <w:rFonts w:cs="Times New Roman" w:ascii="Times New Roman" w:hAnsi="Times New Roman"/>
              </w:rPr>
              <w:t>Totale decurtazioni fondo tendenziale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Rientrocorpodeltesto2"/>
              <w:ind w:left="0" w:right="0" w:hanging="0"/>
              <w:jc w:val="right"/>
              <w:rPr>
                <w:rFonts w:ascii="Times New Roman" w:hAnsi="Times New Roman" w:cs="Times New Roman"/>
              </w:rPr>
            </w:pPr>
            <w:r>
              <w:rPr>
                <w:rFonts w:cs="Times New Roman" w:ascii="Times New Roman" w:hAnsi="Times New Roman"/>
              </w:rPr>
              <w:t>26.981</w:t>
            </w:r>
          </w:p>
        </w:tc>
      </w:tr>
      <w:tr>
        <w:trPr/>
        <w:tc>
          <w:tcPr>
            <w:tcW w:w="5172" w:type="dxa"/>
            <w:tcBorders>
              <w:top w:val="single" w:sz="4" w:space="0" w:color="000000"/>
              <w:left w:val="single" w:sz="4" w:space="0" w:color="000000"/>
              <w:bottom w:val="single" w:sz="4" w:space="0" w:color="000000"/>
              <w:insideH w:val="single" w:sz="4" w:space="0" w:color="000000"/>
            </w:tcBorders>
            <w:shd w:fill="auto" w:val="clear"/>
          </w:tcPr>
          <w:p>
            <w:pPr>
              <w:pStyle w:val="Rientrocorpodeltesto2"/>
              <w:ind w:left="0" w:right="0" w:hanging="0"/>
              <w:rPr>
                <w:rFonts w:ascii="Times New Roman" w:hAnsi="Times New Roman" w:cs="Times New Roman"/>
                <w:b/>
                <w:b/>
              </w:rPr>
            </w:pPr>
            <w:r>
              <w:rPr>
                <w:rFonts w:cs="Times New Roman" w:ascii="Times New Roman" w:hAnsi="Times New Roman"/>
                <w:b/>
              </w:rPr>
              <w:t>C) Totale Fondo sottoposto a certificazione</w:t>
            </w:r>
          </w:p>
        </w:tc>
        <w:tc>
          <w:tcPr>
            <w:tcW w:w="2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entrocorpodeltesto2"/>
              <w:ind w:left="0" w:right="0" w:hanging="0"/>
              <w:jc w:val="right"/>
              <w:rPr>
                <w:rFonts w:ascii="Times New Roman" w:hAnsi="Times New Roman" w:cs="Times New Roman"/>
                <w:b/>
                <w:b/>
                <w:bCs/>
                <w:highlight w:val="yellow"/>
              </w:rPr>
            </w:pPr>
            <w:r>
              <w:rPr>
                <w:rFonts w:cs="Times New Roman" w:ascii="Times New Roman" w:hAnsi="Times New Roman"/>
                <w:b/>
                <w:bCs/>
                <w:highlight w:val="yellow"/>
              </w:rPr>
              <w:t>1.527.285</w:t>
            </w:r>
          </w:p>
        </w:tc>
      </w:tr>
    </w:tbl>
    <w:p>
      <w:pPr>
        <w:pStyle w:val="Normal"/>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Normal"/>
        <w:shd w:val="clear" w:color="auto" w:fill="FFFFFF"/>
        <w:spacing w:before="0" w:after="240"/>
        <w:rPr/>
      </w:pPr>
      <w:r>
        <w:rPr>
          <w:b/>
        </w:rPr>
        <w:t>Modulo II - Definizione delle poste di destinazione del Fondo per la contrattazione integrativa</w:t>
      </w:r>
    </w:p>
    <w:p>
      <w:pPr>
        <w:pStyle w:val="BodyTextIndent2"/>
        <w:ind w:left="0" w:hanging="0"/>
        <w:rPr>
          <w:rFonts w:ascii="Times New Roman" w:hAnsi="Times New Roman"/>
          <w:u w:val="single"/>
        </w:rPr>
      </w:pPr>
      <w:r>
        <w:rPr>
          <w:rFonts w:ascii="Times New Roman" w:hAnsi="Times New Roman"/>
          <w:u w:val="single"/>
        </w:rPr>
        <w:t>Sezione I - Destinazioni non disponibili alla contrattazione integrativa o comunque non regolate specificamente dal Contratto Integrativo sottoposto a certificazione</w:t>
      </w:r>
    </w:p>
    <w:p>
      <w:pPr>
        <w:pStyle w:val="BodyTextIndent2"/>
        <w:ind w:left="0" w:hanging="0"/>
        <w:rPr>
          <w:rFonts w:ascii="Times New Roman" w:hAnsi="Times New Roman"/>
        </w:rPr>
      </w:pPr>
      <w:r>
        <w:rPr>
          <w:rFonts w:ascii="Times New Roman" w:hAnsi="Times New Roman"/>
        </w:rPr>
      </w:r>
    </w:p>
    <w:p>
      <w:pPr>
        <w:pStyle w:val="BodyTextIndent2"/>
        <w:ind w:left="0" w:hanging="0"/>
        <w:rPr/>
      </w:pPr>
      <w:r>
        <w:rPr>
          <w:rFonts w:ascii="Times New Roman" w:hAnsi="Times New Roman"/>
        </w:rPr>
        <w:t>Non vengono regolate dal presente contratto somme per totali</w:t>
      </w:r>
      <w:r>
        <w:rPr>
          <w:rFonts w:ascii="Times New Roman" w:hAnsi="Times New Roman"/>
          <w:highlight w:val="yellow"/>
        </w:rPr>
        <w:t xml:space="preserve"> </w:t>
      </w:r>
      <w:r>
        <w:rPr>
          <w:rFonts w:ascii="Times New Roman" w:hAnsi="Times New Roman"/>
          <w:b/>
          <w:bCs/>
          <w:highlight w:val="yellow"/>
        </w:rPr>
        <w:t>€ 963.949</w:t>
      </w:r>
      <w:r>
        <w:rPr>
          <w:rFonts w:ascii="Times New Roman" w:hAnsi="Times New Roman"/>
        </w:rPr>
        <w:t xml:space="preserve"> relative a:</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tbl>
      <w:tblPr>
        <w:tblW w:w="9927" w:type="dxa"/>
        <w:jc w:val="left"/>
        <w:tblInd w:w="-3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8010"/>
        <w:gridCol w:w="1916"/>
      </w:tblGrid>
      <w:tr>
        <w:trPr>
          <w:trHeight w:val="650"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DIFFERENZIALI PROGR. EC. STORICHE</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475.293,00</w:t>
            </w:r>
          </w:p>
        </w:tc>
      </w:tr>
      <w:tr>
        <w:trPr>
          <w:trHeight w:val="396"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IND. COMPARTO QUOTA CARICO FONDO</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148.500,00</w:t>
            </w:r>
          </w:p>
        </w:tc>
      </w:tr>
      <w:tr>
        <w:trPr>
          <w:trHeight w:val="301"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INCREM. IND. PERS. ASILI NIDO</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34.700,00</w:t>
            </w:r>
          </w:p>
        </w:tc>
      </w:tr>
      <w:tr>
        <w:trPr>
          <w:trHeight w:val="528"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IND. PERS. EX VIII QUALIFICA FUNZ.</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775,00</w:t>
            </w:r>
          </w:p>
        </w:tc>
      </w:tr>
      <w:tr>
        <w:trPr>
          <w:trHeight w:val="636"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D) CCNL 16-18 – TURNO</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102.000,00</w:t>
            </w:r>
          </w:p>
        </w:tc>
      </w:tr>
      <w:tr>
        <w:trPr>
          <w:trHeight w:val="600"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19-21 - ALTRE SPEC. DISP. DI LEGGE – INCENTIVO FUNZIONI TECNICHE</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70.000,00</w:t>
            </w:r>
          </w:p>
        </w:tc>
      </w:tr>
      <w:tr>
        <w:trPr>
          <w:trHeight w:val="645"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D) CCNL 16-18 -  LAVORO  FESTIVO</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30.000</w:t>
            </w:r>
          </w:p>
        </w:tc>
      </w:tr>
      <w:tr>
        <w:trPr>
          <w:trHeight w:val="645"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16-18 - ALTRE SPEC. DISP. DI LEGGE – COMPENSO PROF. AVVOCATI</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58.575,00</w:t>
            </w:r>
          </w:p>
        </w:tc>
      </w:tr>
      <w:tr>
        <w:trPr>
          <w:trHeight w:val="650"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19-21 - ALTRE SPEC. DISP. DI LEGGE – ART. 43 L. 449/97</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10.718,11</w:t>
            </w:r>
          </w:p>
        </w:tc>
      </w:tr>
      <w:tr>
        <w:trPr>
          <w:trHeight w:val="684"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19-21 - ALTRE SPEC. DISP. DI LEGGE – COMPENSI ISTAT</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4.475,65</w:t>
            </w:r>
          </w:p>
        </w:tc>
      </w:tr>
      <w:tr>
        <w:trPr>
          <w:trHeight w:val="600"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19-21 - ALTRE SPEC. DISP. DI LEGGE – INCENTIVO RECUPERO IMU-TARI</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r>
      <w:tr>
        <w:trPr>
          <w:trHeight w:val="912"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G) CCNL 19-21 - ALTRE SPEC. DISP. DI LEGGE – INCENTIVO ART. 208 ART. 208 CDS</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r>
      <w:tr>
        <w:trPr>
          <w:trHeight w:val="912" w:hRule="atLeast"/>
        </w:trPr>
        <w:tc>
          <w:tcPr>
            <w:tcW w:w="80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80 C 2 L H) CCNL 19-21 - MESSI NOTIFICATORI</w:t>
            </w:r>
          </w:p>
        </w:tc>
        <w:tc>
          <w:tcPr>
            <w:tcW w:w="19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2.000</w:t>
            </w:r>
          </w:p>
        </w:tc>
      </w:tr>
    </w:tbl>
    <w:p>
      <w:pPr>
        <w:pStyle w:val="Normal"/>
        <w:rPr/>
      </w:pPr>
      <w:r>
        <w:rPr/>
      </w:r>
    </w:p>
    <w:p>
      <w:pPr>
        <w:pStyle w:val="BodyTextIndent2"/>
        <w:ind w:left="0" w:hanging="0"/>
        <w:rPr/>
      </w:pPr>
      <w:r>
        <w:rPr>
          <w:rFonts w:ascii="Times New Roman" w:hAnsi="Times New Roman"/>
        </w:rPr>
        <w:t>Le somme suddette erano già regolate dal precedente CCDI triennale, per le parti non modificate, oppure sono effetto di disposizioni del CCNL o di progressioni economiche orizzontali pregresse.</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Sezione II - Destinazioni specificamente regolate dal Contratto Integrativo</w:t>
      </w:r>
    </w:p>
    <w:p>
      <w:pPr>
        <w:pStyle w:val="BodyTextIndent2"/>
        <w:ind w:left="0" w:hanging="0"/>
        <w:rPr/>
      </w:pPr>
      <w:r>
        <w:rPr>
          <w:rFonts w:ascii="Times New Roman" w:hAnsi="Times New Roman"/>
        </w:rPr>
        <w:t xml:space="preserve">Vengono regolate dal contratto, per la vigenza del biennio contrattuale,  somme per complessivi </w:t>
      </w:r>
      <w:r>
        <w:rPr>
          <w:rFonts w:ascii="Times New Roman" w:hAnsi="Times New Roman"/>
          <w:b/>
        </w:rPr>
        <w:t xml:space="preserve">€  </w:t>
      </w:r>
      <w:r>
        <w:rPr>
          <w:rFonts w:ascii="Times New Roman" w:hAnsi="Times New Roman"/>
          <w:b/>
          <w:highlight w:val="yellow"/>
        </w:rPr>
        <w:t>560.336</w:t>
      </w:r>
      <w:r>
        <w:rPr>
          <w:rFonts w:ascii="Times New Roman" w:hAnsi="Times New Roman"/>
          <w:b/>
        </w:rPr>
        <w:t xml:space="preserve"> </w:t>
      </w:r>
      <w:r>
        <w:rPr>
          <w:rFonts w:ascii="Times New Roman" w:hAnsi="Times New Roman"/>
        </w:rPr>
        <w:t>, così suddivise:</w:t>
      </w:r>
    </w:p>
    <w:p>
      <w:pPr>
        <w:pStyle w:val="BodyTextIndent2"/>
        <w:ind w:left="0" w:hanging="0"/>
        <w:rPr>
          <w:rFonts w:ascii="Times New Roman" w:hAnsi="Times New Roman"/>
        </w:rPr>
      </w:pPr>
      <w:r>
        <w:rPr>
          <w:rFonts w:ascii="Times New Roman" w:hAnsi="Times New Roman"/>
        </w:rPr>
      </w:r>
    </w:p>
    <w:tbl>
      <w:tblPr>
        <w:tblW w:w="74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1e0"/>
      </w:tblPr>
      <w:tblGrid>
        <w:gridCol w:w="5171"/>
        <w:gridCol w:w="2316"/>
      </w:tblGrid>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BodyTextIndent2"/>
              <w:ind w:left="0" w:hanging="0"/>
              <w:jc w:val="center"/>
              <w:rPr/>
            </w:pPr>
            <w:r>
              <w:rPr>
                <w:rFonts w:ascii="Times New Roman" w:hAnsi="Times New Roman"/>
              </w:rPr>
              <w:t>Descrizione</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BodyTextIndent2"/>
              <w:ind w:left="0" w:hanging="0"/>
              <w:jc w:val="center"/>
              <w:rPr/>
            </w:pPr>
            <w:r>
              <w:rPr>
                <w:rFonts w:ascii="Times New Roman" w:hAnsi="Times New Roman"/>
              </w:rPr>
              <w:t xml:space="preserve">Importo </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pPr>
            <w:r>
              <w:rPr>
                <w:rFonts w:ascii="Times New Roman" w:hAnsi="Times New Roman"/>
                <w:color w:val="000000"/>
                <w:sz w:val="20"/>
              </w:rPr>
              <w:t xml:space="preserve">Progressioni economiche orizzontali – differenziali stipendiali di nuova effettuazione </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pPr>
            <w:r>
              <w:rPr>
                <w:rFonts w:ascii="Times New Roman" w:hAnsi="Times New Roman"/>
              </w:rPr>
              <w:t>129.000</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pPr>
            <w:r>
              <w:rPr>
                <w:rFonts w:ascii="Times New Roman" w:hAnsi="Times New Roman"/>
                <w:color w:val="000000"/>
                <w:sz w:val="20"/>
                <w:szCs w:val="24"/>
                <w:lang w:eastAsia="ar-SA"/>
              </w:rPr>
              <w:t>Performance organizzativa (20% budget performance )</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pPr>
            <w:r>
              <w:rPr>
                <w:rFonts w:cs="Arial" w:ascii="Times New Roman" w:hAnsi="Times New Roman"/>
                <w:sz w:val="20"/>
                <w:szCs w:val="20"/>
                <w:lang w:eastAsia="it-IT"/>
              </w:rPr>
              <w:t>43.847</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sz w:val="20"/>
                <w:szCs w:val="20"/>
              </w:rPr>
            </w:pPr>
            <w:r>
              <w:rPr>
                <w:rFonts w:ascii="Times New Roman" w:hAnsi="Times New Roman"/>
                <w:sz w:val="20"/>
                <w:szCs w:val="20"/>
              </w:rPr>
              <w:t>Performance individuale (80% budget performance)</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ascii="Times New Roman" w:hAnsi="Times New Roman"/>
                <w:sz w:val="20"/>
                <w:szCs w:val="20"/>
              </w:rPr>
              <w:t>175.389</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i/>
                <w:i/>
                <w:iCs/>
                <w:sz w:val="20"/>
                <w:szCs w:val="20"/>
              </w:rPr>
            </w:pPr>
            <w:r>
              <w:rPr>
                <w:rFonts w:ascii="Times New Roman" w:hAnsi="Times New Roman"/>
                <w:i/>
                <w:iCs/>
                <w:sz w:val="20"/>
                <w:szCs w:val="20"/>
              </w:rPr>
              <w:t>Voci con incremento 10%</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ascii="Times New Roman" w:hAnsi="Times New Roman"/>
                <w:sz w:val="20"/>
                <w:szCs w:val="20"/>
              </w:rPr>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sz w:val="20"/>
                <w:szCs w:val="20"/>
              </w:rPr>
            </w:pPr>
            <w:r>
              <w:rPr>
                <w:rFonts w:ascii="Times New Roman" w:hAnsi="Times New Roman"/>
                <w:color w:val="000000"/>
                <w:sz w:val="20"/>
                <w:szCs w:val="20"/>
              </w:rPr>
              <w:t xml:space="preserve">Indennità condizioni lavoro </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ascii="Times New Roman" w:hAnsi="Times New Roman"/>
                <w:sz w:val="20"/>
                <w:szCs w:val="20"/>
              </w:rPr>
              <w:t>27.500</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sz w:val="20"/>
                <w:szCs w:val="20"/>
              </w:rPr>
            </w:pPr>
            <w:r>
              <w:rPr>
                <w:rFonts w:ascii="Times New Roman" w:hAnsi="Times New Roman"/>
                <w:color w:val="000000"/>
                <w:sz w:val="20"/>
                <w:szCs w:val="20"/>
                <w:lang w:eastAsia="ar-SA"/>
              </w:rPr>
              <w:t>Indennità pronta reperibilità</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cs="Arial" w:ascii="Times New Roman" w:hAnsi="Times New Roman"/>
                <w:sz w:val="20"/>
                <w:szCs w:val="20"/>
                <w:lang w:eastAsia="it-IT"/>
              </w:rPr>
              <w:t>66.500</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sz w:val="20"/>
                <w:szCs w:val="20"/>
              </w:rPr>
            </w:pPr>
            <w:r>
              <w:rPr>
                <w:rFonts w:ascii="Times New Roman" w:hAnsi="Times New Roman"/>
                <w:sz w:val="20"/>
                <w:szCs w:val="20"/>
              </w:rPr>
              <w:t>Indennità servizio esterno P.M.</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ascii="Times New Roman" w:hAnsi="Times New Roman"/>
                <w:sz w:val="20"/>
                <w:szCs w:val="20"/>
              </w:rPr>
              <w:t>30.700</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rFonts w:ascii="Times New Roman" w:hAnsi="Times New Roman"/>
                <w:sz w:val="20"/>
                <w:szCs w:val="20"/>
              </w:rPr>
            </w:pPr>
            <w:r>
              <w:rPr>
                <w:rFonts w:ascii="Times New Roman" w:hAnsi="Times New Roman"/>
                <w:sz w:val="20"/>
                <w:szCs w:val="20"/>
              </w:rPr>
              <w:t>Indennità specifiche responsabilità</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sz w:val="20"/>
                <w:szCs w:val="20"/>
              </w:rPr>
            </w:pPr>
            <w:r>
              <w:rPr>
                <w:rFonts w:ascii="Times New Roman" w:hAnsi="Times New Roman"/>
                <w:sz w:val="20"/>
                <w:szCs w:val="20"/>
              </w:rPr>
              <w:t>87.400</w:t>
            </w:r>
          </w:p>
        </w:tc>
      </w:tr>
    </w:tbl>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Sezione III - (eventuali) Destinazioni ancora da regolare</w:t>
      </w:r>
    </w:p>
    <w:p>
      <w:pPr>
        <w:pStyle w:val="BodyTextIndent2"/>
        <w:ind w:left="0" w:hanging="0"/>
        <w:rPr>
          <w:rFonts w:ascii="Times New Roman" w:hAnsi="Times New Roman"/>
        </w:rPr>
      </w:pPr>
      <w:r>
        <w:rPr>
          <w:rFonts w:ascii="Times New Roman" w:hAnsi="Times New Roman"/>
        </w:rPr>
      </w:r>
    </w:p>
    <w:p>
      <w:pPr>
        <w:pStyle w:val="BodyTextIndent2"/>
        <w:ind w:left="0" w:hanging="0"/>
        <w:rPr>
          <w:b w:val="false"/>
          <w:b w:val="false"/>
          <w:bCs w:val="false"/>
          <w:u w:val="none"/>
        </w:rPr>
      </w:pPr>
      <w:r>
        <w:rPr>
          <w:rFonts w:ascii="Times New Roman" w:hAnsi="Times New Roman"/>
          <w:b w:val="false"/>
          <w:bCs w:val="false"/>
          <w:u w:val="none"/>
        </w:rPr>
        <w:t xml:space="preserve">Non vi sono destinazioni da regolare.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Sezione IV - Sintesi della definizione delle poste di destinazione del Fondo per la contrattazione integrativa sottoposto a certificazione</w:t>
      </w:r>
    </w:p>
    <w:tbl>
      <w:tblPr>
        <w:tblW w:w="74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1e0"/>
      </w:tblPr>
      <w:tblGrid>
        <w:gridCol w:w="5171"/>
        <w:gridCol w:w="2316"/>
      </w:tblGrid>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BodyTextIndent2"/>
              <w:ind w:left="0" w:hanging="0"/>
              <w:jc w:val="center"/>
              <w:rPr>
                <w:rFonts w:ascii="Times New Roman" w:hAnsi="Times New Roman"/>
              </w:rPr>
            </w:pPr>
            <w:r>
              <w:rPr>
                <w:rFonts w:ascii="Times New Roman" w:hAnsi="Times New Roman"/>
              </w:rPr>
              <w:t>Descrizione</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BodyTextIndent2"/>
              <w:ind w:left="0" w:hanging="0"/>
              <w:jc w:val="center"/>
              <w:rPr>
                <w:rFonts w:ascii="Times New Roman" w:hAnsi="Times New Roman"/>
              </w:rPr>
            </w:pPr>
            <w:r>
              <w:rPr>
                <w:rFonts w:ascii="Times New Roman" w:hAnsi="Times New Roman"/>
              </w:rPr>
              <w:t>Importo</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Times New Roman" w:hAnsi="Times New Roman"/>
                <w:color w:val="000000"/>
                <w:sz w:val="20"/>
              </w:rPr>
            </w:pPr>
            <w:r>
              <w:rPr>
                <w:rFonts w:ascii="Times New Roman" w:hAnsi="Times New Roman"/>
                <w:color w:val="000000"/>
                <w:sz w:val="20"/>
              </w:rPr>
              <w:t>Somme non regolate dal contratto</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pPr>
            <w:r>
              <w:rPr>
                <w:rFonts w:ascii="Times New Roman" w:hAnsi="Times New Roman"/>
              </w:rPr>
              <w:t>963.949</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Times New Roman" w:hAnsi="Times New Roman"/>
                <w:color w:val="000000"/>
                <w:sz w:val="20"/>
              </w:rPr>
            </w:pPr>
            <w:r>
              <w:rPr>
                <w:rFonts w:ascii="Times New Roman" w:hAnsi="Times New Roman"/>
                <w:color w:val="000000"/>
                <w:sz w:val="20"/>
              </w:rPr>
              <w:t>Somme regolate dal contratto</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pPr>
            <w:r>
              <w:rPr>
                <w:rFonts w:ascii="Times New Roman" w:hAnsi="Times New Roman"/>
              </w:rPr>
              <w:t>560.336</w:t>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Times New Roman" w:hAnsi="Times New Roman"/>
                <w:color w:val="000000"/>
                <w:sz w:val="20"/>
              </w:rPr>
            </w:pPr>
            <w:r>
              <w:rPr>
                <w:rFonts w:ascii="Times New Roman" w:hAnsi="Times New Roman"/>
                <w:color w:val="000000"/>
                <w:sz w:val="20"/>
              </w:rPr>
              <w:t>Destinazioni ancora da regolare</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rFonts w:ascii="Times New Roman" w:hAnsi="Times New Roman"/>
              </w:rPr>
            </w:pPr>
            <w:r>
              <w:rPr>
                <w:rFonts w:ascii="Times New Roman" w:hAnsi="Times New Roman"/>
              </w:rPr>
            </w:r>
          </w:p>
        </w:tc>
      </w:tr>
      <w:tr>
        <w:trPr/>
        <w:tc>
          <w:tcPr>
            <w:tcW w:w="5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Times New Roman" w:hAnsi="Times New Roman"/>
                <w:b/>
                <w:b/>
                <w:color w:val="000000"/>
                <w:sz w:val="20"/>
              </w:rPr>
            </w:pPr>
            <w:r>
              <w:rPr>
                <w:rFonts w:ascii="Times New Roman" w:hAnsi="Times New Roman"/>
                <w:b/>
                <w:color w:val="000000"/>
                <w:sz w:val="20"/>
              </w:rPr>
              <w:t>Totale</w:t>
            </w:r>
          </w:p>
        </w:tc>
        <w:tc>
          <w:tcPr>
            <w:tcW w:w="2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TextIndent2"/>
              <w:ind w:left="0" w:hanging="0"/>
              <w:jc w:val="right"/>
              <w:rPr/>
            </w:pPr>
            <w:r>
              <w:rPr>
                <w:rFonts w:ascii="Times New Roman" w:hAnsi="Times New Roman"/>
                <w:b/>
              </w:rPr>
              <w:t>1.527.285</w:t>
            </w:r>
          </w:p>
        </w:tc>
      </w:tr>
    </w:tbl>
    <w:p>
      <w:pPr>
        <w:pStyle w:val="BodyTextIndent2"/>
        <w:ind w:left="0" w:hanging="0"/>
        <w:rPr>
          <w:rFonts w:ascii="Times New Roman" w:hAnsi="Times New Roman"/>
          <w:u w:val="single"/>
        </w:rPr>
      </w:pPr>
      <w:r>
        <w:rPr>
          <w:rFonts w:ascii="Times New Roman" w:hAnsi="Times New Roman"/>
          <w:u w:val="single"/>
        </w:rPr>
      </w:r>
    </w:p>
    <w:p>
      <w:pPr>
        <w:pStyle w:val="BodyTextIndent2"/>
        <w:ind w:left="0" w:hanging="0"/>
        <w:rPr>
          <w:rFonts w:ascii="Times New Roman" w:hAnsi="Times New Roman"/>
          <w:u w:val="single"/>
        </w:rPr>
      </w:pPr>
      <w:r>
        <w:rPr>
          <w:rFonts w:ascii="Times New Roman" w:hAnsi="Times New Roman"/>
          <w:u w:val="single"/>
        </w:rPr>
        <w:t>Sezione V - Destinazioni temporaneamente allocate all’esterno del Fondo</w:t>
      </w:r>
    </w:p>
    <w:p>
      <w:pPr>
        <w:pStyle w:val="BodyTextIndent2"/>
        <w:ind w:left="0" w:hanging="0"/>
        <w:rPr>
          <w:rFonts w:ascii="Times New Roman" w:hAnsi="Times New Roman"/>
        </w:rPr>
      </w:pPr>
      <w:r>
        <w:rPr>
          <w:rFonts w:ascii="Times New Roman" w:hAnsi="Times New Roman"/>
        </w:rPr>
        <w:t>Voce non presente.</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Sezione VI - Attestazione motivata, dal punto di vista tecnico-finanziario, del rispetto di vincoli di carattere generale</w:t>
      </w:r>
    </w:p>
    <w:p>
      <w:pPr>
        <w:pStyle w:val="BodyTextIndent2"/>
        <w:ind w:left="0" w:hanging="0"/>
        <w:rPr>
          <w:rFonts w:ascii="Times New Roman" w:hAnsi="Times New Roman"/>
          <w:u w:val="single"/>
        </w:rPr>
      </w:pPr>
      <w:r>
        <w:rPr>
          <w:rFonts w:ascii="Times New Roman" w:hAnsi="Times New Roman"/>
          <w:b/>
          <w:u w:val="single"/>
        </w:rPr>
        <w:t>a</w:t>
      </w:r>
      <w:r>
        <w:rPr>
          <w:rFonts w:ascii="Times New Roman" w:hAnsi="Times New Roman"/>
          <w:u w:val="single"/>
        </w:rPr>
        <w:t>. attestazione motivata del rispetto di copertura delle destinazioni di utilizzo del Fondo aventi natura certa e continuativa con risorse del Fondo fisse aventi carattere di certezza e stabilità;</w:t>
      </w:r>
    </w:p>
    <w:p>
      <w:pPr>
        <w:pStyle w:val="BodyTextIndent2"/>
        <w:ind w:left="0" w:hanging="0"/>
        <w:rPr/>
      </w:pPr>
      <w:r>
        <w:rPr>
          <w:rFonts w:ascii="Times New Roman" w:hAnsi="Times New Roman"/>
          <w:kern w:val="2"/>
        </w:rPr>
        <w:t xml:space="preserve">Come dimostrato in relazione illustrativa, le destinazioni di utilizzo aventi natura certa e continuativa sono tutte finanziate con risorse stabili, anche negli esercizi futuri. </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b/>
          <w:u w:val="single"/>
        </w:rPr>
        <w:t>b. </w:t>
      </w:r>
      <w:r>
        <w:rPr>
          <w:rFonts w:ascii="Times New Roman" w:hAnsi="Times New Roman"/>
          <w:u w:val="single"/>
        </w:rPr>
        <w:t>attestazione motivata del rispetto del principio di attribuzione selettiva di incentivi economici;</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t xml:space="preserve">Si fa rinvio alla relazione illustrativa. </w:t>
      </w:r>
    </w:p>
    <w:p>
      <w:pPr>
        <w:pStyle w:val="BodyTextIndent2"/>
        <w:ind w:left="0" w:hanging="0"/>
        <w:rPr>
          <w:rFonts w:ascii="Times New Roman" w:hAnsi="Times New Roman"/>
          <w:b/>
          <w:b/>
        </w:rPr>
      </w:pPr>
      <w:r>
        <w:rPr>
          <w:rFonts w:ascii="Times New Roman" w:hAnsi="Times New Roman"/>
          <w:b/>
        </w:rPr>
      </w:r>
    </w:p>
    <w:p>
      <w:pPr>
        <w:pStyle w:val="BodyTextIndent2"/>
        <w:ind w:left="0" w:hanging="0"/>
        <w:rPr>
          <w:rFonts w:ascii="Times New Roman" w:hAnsi="Times New Roman"/>
          <w:u w:val="single"/>
        </w:rPr>
      </w:pPr>
      <w:r>
        <w:rPr>
          <w:rFonts w:ascii="Times New Roman" w:hAnsi="Times New Roman"/>
          <w:b/>
          <w:u w:val="single"/>
        </w:rPr>
        <w:t>c. </w:t>
      </w:r>
      <w:r>
        <w:rPr>
          <w:rFonts w:ascii="Times New Roman" w:hAnsi="Times New Roman"/>
          <w:u w:val="single"/>
        </w:rPr>
        <w:t>attestazione motivata del rispetto del principio di selettività delle progressioni di carriera finanziate con il Fondo per la contrattazione integrativa (progressioni orizzontali)</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t xml:space="preserve">Si fa rinvio alla relazione illustrativa. </w:t>
      </w:r>
    </w:p>
    <w:p>
      <w:pPr>
        <w:pStyle w:val="BodyTextIndent2"/>
        <w:ind w:left="0" w:hanging="0"/>
        <w:rPr>
          <w:rFonts w:ascii="Times New Roman" w:hAnsi="Times New Roman"/>
        </w:rPr>
      </w:pPr>
      <w:r>
        <w:rPr>
          <w:rFonts w:ascii="Times New Roman" w:hAnsi="Times New Roman"/>
        </w:rPr>
      </w:r>
    </w:p>
    <w:p>
      <w:pPr>
        <w:pStyle w:val="Normal"/>
        <w:shd w:val="clear" w:color="auto" w:fill="FFFFFF"/>
        <w:spacing w:before="0" w:after="240"/>
        <w:rPr>
          <w:b/>
          <w:b/>
        </w:rPr>
      </w:pPr>
      <w:r>
        <w:rPr>
          <w:b/>
        </w:rPr>
        <w:t>Modulo III - Schema generale riassuntivo del Fondo per la contrattazione integrativa e confronto con il corrispondente Fondo certificato dell’anno precedente</w:t>
      </w:r>
    </w:p>
    <w:p>
      <w:pPr>
        <w:pStyle w:val="BodyTextIndent2"/>
        <w:ind w:left="0" w:hanging="0"/>
        <w:rPr/>
      </w:pPr>
      <w:r>
        <w:rPr>
          <w:rFonts w:ascii="Times New Roman" w:hAnsi="Times New Roman"/>
          <w:b/>
          <w:u w:val="single"/>
        </w:rPr>
        <w:t>Tabella 1</w:t>
      </w:r>
      <w:r>
        <w:rPr>
          <w:rFonts w:ascii="Times New Roman" w:hAnsi="Times New Roman"/>
          <w:u w:val="single"/>
        </w:rPr>
        <w:t xml:space="preserve"> - Schema generale riassuntivo di costituzione del Fondo Anno 2023 e confronto con il corrispondente Fondo certificato 2022.</w:t>
      </w:r>
    </w:p>
    <w:p>
      <w:pPr>
        <w:pStyle w:val="BodyTextIndent2"/>
        <w:ind w:left="0" w:hanging="0"/>
        <w:rPr>
          <w:rFonts w:ascii="Times New Roman" w:hAnsi="Times New Roman"/>
          <w:b/>
          <w:b/>
          <w:u w:val="single"/>
        </w:rPr>
      </w:pPr>
      <w:r>
        <w:rPr>
          <w:rFonts w:ascii="Times New Roman" w:hAnsi="Times New Roman"/>
          <w:b/>
          <w:u w:val="single"/>
        </w:rPr>
      </w:r>
    </w:p>
    <w:p>
      <w:pPr>
        <w:pStyle w:val="BodyTextIndent2"/>
        <w:ind w:left="0" w:hanging="0"/>
        <w:rPr>
          <w:rFonts w:ascii="Times New Roman" w:hAnsi="Times New Roman"/>
        </w:rPr>
      </w:pPr>
      <w:r>
        <w:rPr>
          <w:rFonts w:ascii="Times New Roman" w:hAnsi="Times New Roman"/>
        </w:rPr>
      </w:r>
    </w:p>
    <w:tbl>
      <w:tblPr>
        <w:tblW w:w="907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754"/>
        <w:gridCol w:w="1590"/>
        <w:gridCol w:w="1530"/>
        <w:gridCol w:w="1200"/>
      </w:tblGrid>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DESCRIZIONE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2023</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2022</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 xml:space="preserve">Diff. </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risorse decentrate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Risorse fisse aventi carattere di certezza e stabilità</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1 Ccnl 16-18 - Unico importo consolidato 2017</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1.133.908,00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1.133.908,00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B Ccnl 16-18 - Ridet. per increm. stip. Ccnl 2018</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18.051,00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-€ 18.051,00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79 c.1 lett d) CCNL 2022 – Ridet.per increm. Stip. CCNL</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18.829,00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18.829,00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C Ccnl 16-18 - RIA e ass. ad pers. cessato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52.202,00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47.555,00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4.647,00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2 c 3 DLgs 165/2001 - Risp. tratt. ec. pre-Ccnl 94-97</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E Ccnl 16-18-Increm. pers. trasf. disp. legge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E Ccnl 16-18 - Increm. altro pers. trasf.</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F Ccnl 16-18 - Rid. stab. org. dir. Regioni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G Ccnl 16-18 - Increm. riduz. stab. straord.</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H Ccnl 16-18 - Increm. dot org e relat copert</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A Ccnl 16-18 – increm 83,20 euro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27.206,00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27.206,00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79 c. 1-bis CCNL 2022 – ex differenziali personale già B3 e D3</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39.435,00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39.435,00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79 comma 1 lett. b) CCNL 2022</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26.026,00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26.026,00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Altre risorse fisse con carattere di certezza e stabilità</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Totale Risorse fisse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1.297.606,00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1.245.549,00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52.057,00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Risorse variabili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43 L 449/1997 - Entr. conto terzi o utenza o sponsor.</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10.718,00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6.277,00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4.441,00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16 cc 4-5-6 DL 98/11 - Risp. piani razionalizzazione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113 DLgs 50/2016 - Quote incentivi funzioni tecniche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70.000,00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64.083,00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5.917,00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92 cc 5-6  DLgs 163/06 - Quote prog.ne ad esaurimento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9 L 114/14 Art 21 c 1 R.D. 1611/33 - Comp. Avvocati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58.575,00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23.066,00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35.509,00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3 c 57 L662/96 Art 59 c 1 L.P DLgs446/97 - Rec. ev. ICI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70-ter Ccnl 16-18 - Contr Istat e Enti pubbl autorizz</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4.476,00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3.995,00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481,00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56-ter Ccnl 16-18 - Risorse serv agg PL iniz privata</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56-quater L C Ccnl 16-18 - Prov. violaz. codice strada</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C Ccnl 16-18 - Altre spec. disp. di legge (**)</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D Ccnl 16-18-RIA cess anno prec mensil residue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2.209,00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1.172,00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1.037,00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E Ccnl 16-18 -Risp. straord. cons. anno prec.</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F Ccnl 16-18 - Messi notificatori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2.000,00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1.555,00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445,00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G Ccnl 16-18 - Ris. pers. da case da gioco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H Ccnl 16-18 - Integrazione 1,2% m.s. 1997</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12.350,00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57.080,00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-€ 44.730,00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I Ccnl 16-18-Ris. obiett. ente anche manten.</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23 cc 4, 6 DLgs 75/2017 - Ris. sperimentazione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3 L K Ccnl 16-18-Integr. pers. trasf. corso d'anno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4 comma 9 D.L. 19/2020 Ind.ord.pub.</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-€ 520,00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16-18-Ris fisse non utilizzate fondi prec.</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1 c. 870 L. 178/2020</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507"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79 comma 1 lett. b) CCNL 2022 annualità 2021 e 2022 (una tantum non ripetibile)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52.052,00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52.052,00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art. 79 c. 2 lett. c) max 0,22% monte salari 2018</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17.369,00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17.369,00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Altre risorse variabili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Totale Risorse variabili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256.660,00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157.748,00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98.912,00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Decurtazioni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E Ccnl 16-18 -Dec. pers. trasf. disp. Legge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67 c 2 L E Ccnl 16-18 -Dec. altro pers. trasf.</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 c 4 L U Ccnl 16-18 - Dec. risorse destinate P.O.</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23 c 2 Dlgs 75/2017 - Dec. fondo rispetto limite 2016</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40 c 3-q DLgs 165/2001 - Dec. anno per piani di recup.</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-€ 21.982,00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-€ 22.919,00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937,00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4 DL 16/2014 - Dec. anno per piani di recup.</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Altre decurtazioni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-€ 5.000,00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-€ 5.000,00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Totale Decurtazioni</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-€ 26.982,00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-€ 27.919,00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937,00</w:t>
            </w:r>
          </w:p>
        </w:tc>
      </w:tr>
      <w:tr>
        <w:trPr>
          <w:trHeight w:val="293" w:hRule="atLeast"/>
        </w:trPr>
        <w:tc>
          <w:tcPr>
            <w:tcW w:w="47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Totale Fondo risorse decentrate</w:t>
            </w:r>
          </w:p>
        </w:tc>
        <w:tc>
          <w:tcPr>
            <w:tcW w:w="159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1.527.284,00</w:t>
            </w:r>
          </w:p>
        </w:tc>
        <w:tc>
          <w:tcPr>
            <w:tcW w:w="153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1.375.378,00</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151.906,00</w:t>
            </w:r>
          </w:p>
        </w:tc>
      </w:tr>
    </w:tbl>
    <w:p>
      <w:pPr>
        <w:pStyle w:val="Normal"/>
        <w:rPr/>
      </w:pPr>
      <w:r>
        <w:rPr/>
      </w:r>
    </w:p>
    <w:p>
      <w:pPr>
        <w:pStyle w:val="Normal"/>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pPr>
      <w:r>
        <w:rPr>
          <w:rFonts w:ascii="Times New Roman" w:hAnsi="Times New Roman"/>
          <w:b/>
          <w:u w:val="single"/>
        </w:rPr>
        <w:t>Tabella 2</w:t>
      </w:r>
      <w:r>
        <w:rPr>
          <w:rFonts w:ascii="Times New Roman" w:hAnsi="Times New Roman"/>
          <w:u w:val="single"/>
        </w:rPr>
        <w:t xml:space="preserve"> - Schema generale riassuntivo di utilizzo del Fondo. Anno 2023 e confronto con il corrispondente Fondo certificato 2022.</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tbl>
      <w:tblPr>
        <w:tblW w:w="952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994"/>
        <w:gridCol w:w="1531"/>
        <w:gridCol w:w="1350"/>
        <w:gridCol w:w="1649"/>
      </w:tblGrid>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DESCRIZIONE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2023</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2022</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b/>
                <w:bCs/>
                <w:i w:val="false"/>
                <w:i w:val="false"/>
                <w:iCs w:val="false"/>
                <w:strike w:val="false"/>
                <w:dstrike w:val="false"/>
                <w:outline w:val="false"/>
                <w:shadow w:val="false"/>
                <w:color w:val="000000"/>
                <w:sz w:val="20"/>
                <w:szCs w:val="20"/>
                <w:highlight w:val="yellow"/>
                <w:u w:val="none"/>
              </w:rPr>
            </w:pPr>
            <w:r>
              <w:rPr>
                <w:rFonts w:ascii="Times New Roman" w:hAnsi="Times New Roman"/>
                <w:b/>
                <w:bCs/>
                <w:i w:val="false"/>
                <w:iCs w:val="false"/>
                <w:strike w:val="false"/>
                <w:dstrike w:val="false"/>
                <w:outline w:val="false"/>
                <w:shadow w:val="false"/>
                <w:color w:val="000000"/>
                <w:sz w:val="20"/>
                <w:szCs w:val="20"/>
                <w:highlight w:val="yellow"/>
                <w:u w:val="none"/>
              </w:rPr>
              <w:t xml:space="preserve">Diff. </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risorse decentrate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Destinazioni </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Differenziali progr. ec. storiche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475.293,00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480.315,00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-€ 5.022,00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Ind. comparto quota carico fondo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148.500,00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149.895,00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-€ 1.395,00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Increm. ind. pers. asili nido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34.700,00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30.788,00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3.912,00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1 Ccnl 16-18 - Ind. pers. ex VIII qualifica funz.</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775,00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775,00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A Ccnl 16-18 - Performance organizzativa</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43.847,00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136.545,00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-€ 92.698,00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B Ccnl 16-18 - Performance individuale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175.389,00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208.406,00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-€ 33.017,00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C Ccnl 16-18 - Ind. cond. lav. ex art.70-bis</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27.500,00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18.175,00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9.325,00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D Ccnl 16-18 - Turno - reper. - lav. fest.</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198.500,00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156.178,00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42.322,00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E Ccnl 16-18 - Specifiche responsabilità</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87.400,00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76.791,00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10.609,00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113 DLgs 50/2016 - Incentivi funzioni tecniche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70.000,00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64.083,00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5.917,00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92 cc 5-6 DLgs 163/2006 - Incentivi prog.ne ad es.to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9 L 114/14 Art 21 c 1 R.D. 1611/33 - Comp. Avvocati</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58.575,00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23.066,00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35.509,00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L. 662/1996 DLgs 446/1997 - Incentivi rec. ev. ICI</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70-ter Ccnl 16-18 - Compensi Istat</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4.476,00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3.995,00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481,00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G Ccnl 16-18 - Altre spec. disp. di legge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10.718,00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6.277,00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4.441,00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H Ccnl 16-18 - Messi notificatori</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2.000,00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1.555,00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445,00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I Ccnl 16-18 - Ris. pers. da case da gioco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68 c 2 L J Ccnl 16-18 - Peo anno di riferimento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129.000,00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129.000,00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56-ter Ccnl 16-18 - PL Serv. agg  iniz privata</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56-quater L C Ccnl16-18 - PL Inc prov violaz codice str</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56-quinquies Ccnl 16-18 - PL Indennità di serv. Esterno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30.700,00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18.014,00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12.686,00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56-sexies Ccnl 16-18 - PL Indennità di funzione</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Art. 4 comma 9 D.L. 19/2020 Ind.ord.pub.</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520,00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-€ 520,00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Altri istituti non compresi fra i precedenti</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Quota non negoziata e rinviata ad anno successivo</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499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Totale Destinazioni </w:t>
            </w:r>
          </w:p>
        </w:tc>
        <w:tc>
          <w:tcPr>
            <w:tcW w:w="1531"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1.524.284,00</w:t>
            </w:r>
          </w:p>
        </w:tc>
        <w:tc>
          <w:tcPr>
            <w:tcW w:w="135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1.375.378,00</w:t>
            </w:r>
          </w:p>
        </w:tc>
        <w:tc>
          <w:tcPr>
            <w:tcW w:w="16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148.906,00</w:t>
            </w:r>
          </w:p>
        </w:tc>
      </w:tr>
    </w:tbl>
    <w:p>
      <w:pPr>
        <w:pStyle w:val="Normal"/>
        <w:rPr/>
      </w:pPr>
      <w:r>
        <w:rPr/>
      </w:r>
    </w:p>
    <w:p>
      <w:pPr>
        <w:pStyle w:val="Normal"/>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Normal"/>
        <w:shd w:val="clear" w:color="auto" w:fill="FFFFFF"/>
        <w:spacing w:before="0" w:after="240"/>
        <w:rPr/>
      </w:pPr>
      <w:r>
        <w:rPr>
          <w:b/>
        </w:rPr>
        <w:t>Modulo IV - Compatibilità economico-finanziaria e modalità di copertura degli oneri del Fondo con riferimento agli strumenti annuali e pluriennali di bilancio</w:t>
      </w:r>
    </w:p>
    <w:p>
      <w:pPr>
        <w:pStyle w:val="BodyTextIndent2"/>
        <w:ind w:left="0" w:hanging="0"/>
        <w:rPr>
          <w:rFonts w:ascii="Times New Roman" w:hAnsi="Times New Roman"/>
          <w:u w:val="single"/>
        </w:rPr>
      </w:pPr>
      <w:r>
        <w:rPr>
          <w:rFonts w:ascii="Times New Roman" w:hAnsi="Times New Roman"/>
          <w:u w:val="single"/>
        </w:rPr>
        <w:t xml:space="preserve">Sezione I - Esposizione finalizzata alla verifica che gli strumenti della contabilità economico-finanziaria </w:t>
      </w:r>
      <w:r>
        <w:rPr>
          <w:rFonts w:ascii="Times New Roman" w:hAnsi="Times New Roman"/>
          <w:spacing w:val="-4"/>
          <w:u w:val="single"/>
        </w:rPr>
        <w:t>dell’Amministrazione</w:t>
      </w:r>
      <w:r>
        <w:rPr>
          <w:rFonts w:ascii="Times New Roman" w:hAnsi="Times New Roman"/>
          <w:u w:val="single"/>
        </w:rPr>
        <w:t xml:space="preserve"> presidiano correttamente i limiti di spesa del Fondo nella fase programmatoria della gestione</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t>Tutte le somme relative al fondo delle risorse decentrate sono imputate in capitoli ed articoli di spesa  specificamente  finalizzati all’erogazione delle somme del fondo, strutturati per centri di costo. I servizi di gestione del personale ed il servizio finanziario hanno sviluppato applicativi gestionali che consentono l’immediata verifica degli stanziamenti e delle relative spese.   Quindi la verifica tra sistema contabile e dati del fondo di produttività è costante.</w:t>
      </w:r>
    </w:p>
    <w:p>
      <w:pPr>
        <w:pStyle w:val="BodyTextIndent2"/>
        <w:ind w:left="0" w:hanging="0"/>
        <w:rPr>
          <w:rFonts w:ascii="Times New Roman" w:hAnsi="Times New Roman"/>
        </w:rPr>
      </w:pPr>
      <w:r>
        <w:rPr>
          <w:rFonts w:ascii="Times New Roman" w:hAnsi="Times New Roman"/>
        </w:rPr>
      </w:r>
    </w:p>
    <w:p>
      <w:pPr>
        <w:pStyle w:val="BodyTextIndent2"/>
        <w:ind w:left="0" w:hanging="0"/>
        <w:rPr/>
      </w:pPr>
      <w:r>
        <w:rPr>
          <w:rFonts w:ascii="Times New Roman" w:hAnsi="Times New Roman"/>
          <w:u w:val="single"/>
        </w:rPr>
        <w:t>Sezione II - Esposizione finalizzata alla verifica a consuntivo che il limite di spesa del Fondo dell’anno 2016 risulta rispettato</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tbl>
      <w:tblPr>
        <w:tblW w:w="10350" w:type="dxa"/>
        <w:jc w:val="left"/>
        <w:tblInd w:w="-3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6554"/>
        <w:gridCol w:w="1896"/>
        <w:gridCol w:w="1900"/>
      </w:tblGrid>
      <w:tr>
        <w:trPr>
          <w:trHeight w:val="528"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CALCOLO LIMITE ART. 23 C. 2 D.LGS. 75/2017</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2016 personale certificato dai revisori</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1.462.566,00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lavoro straordinario 2016</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84.887,00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Limite 2016 segretario generale</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42.812,00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Limite fondo dirigenza 2016</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345.382,00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IMPORTO LIMITE ART. 23 C. 2 D.LGS. 75/2017</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1.935.647,00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personale 2023</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1.554.266,10</w:t>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posizioni organizzative 2023</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157.502,00</w:t>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lavoro straordinario 2023</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87.874,00</w:t>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Incremento fondo lavoro straordinario 2023 ex progetto Scuole Sicure</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384"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Trattamento accessorio Segretario generale</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41.323,00</w:t>
            </w:r>
          </w:p>
        </w:tc>
      </w:tr>
      <w:tr>
        <w:trPr>
          <w:trHeight w:val="456"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dirigenza 2023 (stanziamenti di bilancio capitoli con art. 310 + decurtazione da ispezione MEF)</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333.625,00</w:t>
            </w:r>
          </w:p>
        </w:tc>
      </w:tr>
      <w:tr>
        <w:trPr>
          <w:trHeight w:val="456"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QUOTA FONDO PERSONALE 2016 NON RILEVANTE AI FINI DELLA VERIFICA LIMITE </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42.685,00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456"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QUOTA FONDO PERSONALE 2023 NON RILEVANTE AI FINI DELLA VERIFICA LIMITE 2016</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322.304,34</w:t>
            </w:r>
          </w:p>
        </w:tc>
      </w:tr>
      <w:tr>
        <w:trPr>
          <w:trHeight w:val="600"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FONDO 2016 RILEVANTE AI FINI DEL CONFRONTO</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1.892.962,00</w:t>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FONDO 2023 RILEVANTE AI FINI DEL CONFRONTO</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 xml:space="preserve">€ </w:t>
            </w:r>
            <w:r>
              <w:rPr>
                <w:rFonts w:ascii="Times New Roman" w:hAnsi="Times New Roman"/>
                <w:b/>
                <w:bCs w:val="false"/>
                <w:i w:val="false"/>
                <w:iCs w:val="false"/>
                <w:strike w:val="false"/>
                <w:dstrike w:val="false"/>
                <w:outline w:val="false"/>
                <w:shadow w:val="false"/>
                <w:color w:val="000000"/>
                <w:sz w:val="20"/>
                <w:szCs w:val="20"/>
                <w:u w:val="none"/>
              </w:rPr>
              <w:t>1.852.285,76</w:t>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Risultato verifica</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-€ 40.676,24</w:t>
            </w:r>
          </w:p>
        </w:tc>
      </w:tr>
      <w:tr>
        <w:trPr>
          <w:trHeight w:val="293" w:hRule="atLeast"/>
        </w:trPr>
        <w:tc>
          <w:tcPr>
            <w:tcW w:w="65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DETRAZIONE DA APPLICARE SULLA BASE DEL LIMITE </w:t>
            </w:r>
          </w:p>
        </w:tc>
        <w:tc>
          <w:tcPr>
            <w:tcW w:w="189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bl>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u w:val="single"/>
        </w:rPr>
      </w:pPr>
      <w:r>
        <w:rPr>
          <w:rFonts w:ascii="Times New Roman" w:hAnsi="Times New Roman"/>
          <w:u w:val="single"/>
        </w:rPr>
        <w:t>Sezione III - Verifica delle disponibilità finanziarie dell’Amministrazione ai fini della copertura delle diverse voci di destinazione del Fondo</w:t>
      </w:r>
    </w:p>
    <w:p>
      <w:pPr>
        <w:pStyle w:val="BodyTextIndent2"/>
        <w:ind w:left="0" w:hanging="0"/>
        <w:rPr>
          <w:rFonts w:ascii="Times New Roman" w:hAnsi="Times New Roman"/>
        </w:rPr>
      </w:pPr>
      <w:r>
        <w:rPr>
          <w:rFonts w:ascii="Times New Roman" w:hAnsi="Times New Roman"/>
        </w:rPr>
      </w:r>
    </w:p>
    <w:p>
      <w:pPr>
        <w:pStyle w:val="BodyTextIndent2"/>
        <w:ind w:left="0" w:hanging="0"/>
        <w:rPr>
          <w:rFonts w:ascii="Times New Roman" w:hAnsi="Times New Roman"/>
          <w:b/>
          <w:b/>
          <w:kern w:val="2"/>
        </w:rPr>
      </w:pPr>
      <w:r>
        <w:rPr>
          <w:rFonts w:ascii="Times New Roman" w:hAnsi="Times New Roman"/>
          <w:b/>
          <w:kern w:val="2"/>
        </w:rPr>
      </w:r>
    </w:p>
    <w:p>
      <w:pPr>
        <w:pStyle w:val="BodyTextIndent2"/>
        <w:ind w:left="0" w:hanging="0"/>
        <w:rPr>
          <w:rFonts w:ascii="Times New Roman" w:hAnsi="Times New Roman"/>
          <w:b/>
          <w:b/>
          <w:kern w:val="2"/>
        </w:rPr>
      </w:pPr>
      <w:r>
        <w:rPr>
          <w:rFonts w:ascii="Times New Roman" w:hAnsi="Times New Roman"/>
          <w:b/>
          <w:kern w:val="2"/>
        </w:rPr>
      </w:r>
    </w:p>
    <w:tbl>
      <w:tblPr>
        <w:tblW w:w="8448" w:type="dxa"/>
        <w:jc w:val="left"/>
        <w:tblInd w:w="-3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6552"/>
        <w:gridCol w:w="1895"/>
      </w:tblGrid>
      <w:tr>
        <w:trPr>
          <w:trHeight w:val="408"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bCs w:val="false"/>
                <w:i w:val="false"/>
                <w:iCs w:val="false"/>
                <w:strike w:val="false"/>
                <w:dstrike w:val="false"/>
                <w:outline w:val="false"/>
                <w:shadow w:val="false"/>
                <w:color w:val="000000"/>
                <w:sz w:val="20"/>
                <w:szCs w:val="20"/>
                <w:u w:val="none"/>
              </w:rPr>
              <w:t>DIMOSTRAZIONE COPERTURA FINANZIARIA</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rHeight w:val="252"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con art. 301,303,304,305,306,308,309,311</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1.014.409,00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628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1.500,00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831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16.911,00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4859 art. 101</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144,00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4859 art. 103</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9.755,00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4987 art. 101</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2.770,82</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3962 artt. 104, 105,106</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1.059,00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6050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715.566,00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Cap. 6050 art. 109 </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10.000,00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658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4.475,65</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6050 art. 101</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10.418,00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Cap. 6050 art. 110 </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678,00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Cap. 6067 art. 100 </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70.000,00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6064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0,00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101 art. 100</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8.575,00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Cap. 101 art. 101</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50.000,00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Fondo pluriennale vincolato 2023 (per accessorio 2022)</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-€ 387.856,00</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TOTALE FONDI DISPONIBILI</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1.528.405,47</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TOTALE DA FINANZIARE </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1.527.284,18</w:t>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r>
      <w:tr>
        <w:trPr>
          <w:trHeight w:val="293" w:hRule="atLeast"/>
        </w:trPr>
        <w:tc>
          <w:tcPr>
            <w:tcW w:w="655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SALDO</w:t>
            </w:r>
          </w:p>
        </w:tc>
        <w:tc>
          <w:tcPr>
            <w:tcW w:w="1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tabs>
                <w:tab w:val="clear" w:pos="720"/>
              </w:tabs>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1.121,29</w:t>
            </w:r>
          </w:p>
        </w:tc>
      </w:tr>
    </w:tbl>
    <w:p>
      <w:pPr>
        <w:pStyle w:val="Normal"/>
        <w:rPr/>
      </w:pPr>
      <w:r>
        <w:rPr/>
      </w:r>
    </w:p>
    <w:p>
      <w:pPr>
        <w:pStyle w:val="Normal"/>
        <w:ind w:left="0" w:hanging="0"/>
        <w:rPr>
          <w:rFonts w:ascii="Times New Roman" w:hAnsi="Times New Roman"/>
          <w:b/>
          <w:b/>
          <w:kern w:val="2"/>
        </w:rPr>
      </w:pPr>
      <w:r>
        <w:rPr>
          <w:rFonts w:ascii="Times New Roman" w:hAnsi="Times New Roman"/>
          <w:b/>
          <w:kern w:val="2"/>
        </w:rPr>
      </w:r>
    </w:p>
    <w:p>
      <w:pPr>
        <w:pStyle w:val="BodyTextIndent2"/>
        <w:ind w:left="0" w:hanging="0"/>
        <w:rPr>
          <w:rFonts w:ascii="Times New Roman" w:hAnsi="Times New Roman"/>
          <w:b/>
          <w:b/>
          <w:kern w:val="2"/>
        </w:rPr>
      </w:pPr>
      <w:r>
        <w:rPr>
          <w:rFonts w:ascii="Times New Roman" w:hAnsi="Times New Roman"/>
          <w:b/>
          <w:kern w:val="2"/>
        </w:rPr>
      </w:r>
    </w:p>
    <w:p>
      <w:pPr>
        <w:pStyle w:val="BodyTextIndent2"/>
        <w:ind w:left="0" w:hanging="0"/>
        <w:rPr>
          <w:rFonts w:ascii="Times New Roman" w:hAnsi="Times New Roman"/>
          <w:b/>
          <w:b/>
          <w:kern w:val="2"/>
        </w:rPr>
      </w:pPr>
      <w:r>
        <w:rPr>
          <w:rFonts w:ascii="Times New Roman" w:hAnsi="Times New Roman"/>
          <w:b/>
          <w:kern w:val="2"/>
        </w:rPr>
      </w:r>
    </w:p>
    <w:p>
      <w:pPr>
        <w:pStyle w:val="BodyTextIndent2"/>
        <w:ind w:left="0" w:hanging="0"/>
        <w:rPr>
          <w:rFonts w:ascii="Times New Roman" w:hAnsi="Times New Roman"/>
          <w:b/>
          <w:b/>
          <w:kern w:val="2"/>
        </w:rPr>
      </w:pPr>
      <w:r>
        <w:rPr>
          <w:rFonts w:ascii="Times New Roman" w:hAnsi="Times New Roman"/>
          <w:b/>
          <w:kern w:val="2"/>
        </w:rPr>
      </w:r>
    </w:p>
    <w:p>
      <w:pPr>
        <w:pStyle w:val="BodyText2"/>
        <w:rPr/>
      </w:pPr>
      <w:r>
        <w:rPr/>
        <w:t>Non ci sono oneri indiretti senza copertura di bilancio.</w:t>
      </w:r>
    </w:p>
    <w:p>
      <w:pPr>
        <w:pStyle w:val="Normal"/>
        <w:rPr>
          <w:rFonts w:ascii="Times New Roman" w:hAnsi="Times New Roman"/>
        </w:rPr>
      </w:pPr>
      <w:r>
        <w:rPr>
          <w:rFonts w:ascii="Times New Roman" w:hAnsi="Times New Roman"/>
        </w:rPr>
      </w:r>
    </w:p>
    <w:p>
      <w:pPr>
        <w:pStyle w:val="Normal"/>
        <w:rPr/>
      </w:pPr>
      <w:r>
        <w:rPr>
          <w:rFonts w:ascii="Times New Roman" w:hAnsi="Times New Roman"/>
          <w:sz w:val="20"/>
        </w:rPr>
        <w:t>Foligno, 18/12/2023</w:t>
      </w:r>
    </w:p>
    <w:p>
      <w:pPr>
        <w:pStyle w:val="Normal"/>
        <w:rPr>
          <w:rFonts w:ascii="Times New Roman" w:hAnsi="Times New Roman"/>
          <w:sz w:val="20"/>
        </w:rPr>
      </w:pPr>
      <w:r>
        <w:rPr>
          <w:rFonts w:ascii="Times New Roman" w:hAnsi="Times New Roman"/>
          <w:sz w:val="20"/>
        </w:rPr>
      </w:r>
    </w:p>
    <w:p>
      <w:pPr>
        <w:pStyle w:val="Normal"/>
        <w:rPr/>
      </w:pPr>
      <w:r>
        <w:rPr>
          <w:rFonts w:ascii="Times New Roman" w:hAnsi="Times New Roman"/>
          <w:sz w:val="20"/>
        </w:rPr>
        <w:t>IL DIRIGENTE AREA SERVIZI GENERALI</w:t>
      </w:r>
    </w:p>
    <w:p>
      <w:pPr>
        <w:pStyle w:val="Normal"/>
        <w:rPr/>
      </w:pPr>
      <w:r>
        <w:rPr>
          <w:rFonts w:ascii="Times New Roman" w:hAnsi="Times New Roman"/>
          <w:sz w:val="20"/>
        </w:rPr>
        <w:t>Presidente della delegazione trattante di parte pubblica</w:t>
      </w:r>
    </w:p>
    <w:p>
      <w:pPr>
        <w:pStyle w:val="Normal"/>
        <w:spacing w:before="0" w:after="240"/>
        <w:jc w:val="left"/>
        <w:rPr/>
      </w:pPr>
      <w:r>
        <w:rPr>
          <w:rFonts w:ascii="Times New Roman" w:hAnsi="Times New Roman"/>
          <w:sz w:val="20"/>
        </w:rPr>
        <w:t xml:space="preserve">Dr.ssa </w:t>
      </w:r>
      <w:r>
        <w:rPr>
          <w:rFonts w:ascii="Times New Roman" w:hAnsi="Times New Roman"/>
          <w:b w:val="false"/>
          <w:bCs w:val="false"/>
          <w:sz w:val="20"/>
          <w:szCs w:val="24"/>
          <w:lang w:eastAsia="ar-SA"/>
        </w:rPr>
        <w:t>Arianna Lattanzi</w:t>
      </w:r>
    </w:p>
    <w:sectPr>
      <w:headerReference w:type="default" r:id="rId2"/>
      <w:footerReference w:type="default" r:id="rId3"/>
      <w:type w:val="nextPage"/>
      <w:pgSz w:w="11906" w:h="16838"/>
      <w:pgMar w:left="851" w:right="851"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fldChar w:fldCharType="begin"/>
    </w:r>
    <w:r>
      <w:rPr/>
      <w:instrText> PAGE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sz w:val="32"/>
      </w:rPr>
    </w:pPr>
    <w:r>
      <w:rPr/>
      <w:drawing>
        <wp:inline distT="0" distB="0" distL="0" distR="0">
          <wp:extent cx="609600" cy="6858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609600" cy="685800"/>
                  </a:xfrm>
                  <a:prstGeom prst="rect">
                    <a:avLst/>
                  </a:prstGeom>
                </pic:spPr>
              </pic:pic>
            </a:graphicData>
          </a:graphic>
        </wp:inline>
      </w:drawing>
    </w:r>
    <w:r>
      <w:rPr>
        <w:rFonts w:ascii="Times New Roman" w:hAnsi="Times New Roman"/>
        <w:sz w:val="32"/>
      </w:rPr>
      <w:t xml:space="preserve"> </w:t>
    </w:r>
  </w:p>
  <w:p>
    <w:pPr>
      <w:pStyle w:val="Normal"/>
      <w:jc w:val="center"/>
      <w:rPr>
        <w:rFonts w:ascii="Times New Roman" w:hAnsi="Times New Roman"/>
        <w:sz w:val="32"/>
      </w:rPr>
    </w:pPr>
    <w:r>
      <w:rPr>
        <w:rFonts w:ascii="Times New Roman" w:hAnsi="Times New Roman"/>
        <w:sz w:val="32"/>
      </w:rPr>
      <w:t>COMUNE DI FOLIGNO</w:t>
    </w:r>
  </w:p>
  <w:p>
    <w:pPr>
      <w:pStyle w:val="Intestazione"/>
      <w:jc w:val="center"/>
      <w:rPr/>
    </w:pPr>
    <w:r>
      <w:rPr>
        <w:rFonts w:ascii="Times New Roman" w:hAnsi="Times New Roman"/>
        <w:sz w:val="24"/>
      </w:rPr>
      <w:t>(Provincia di Perugia)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both"/>
    </w:pPr>
    <w:rPr>
      <w:rFonts w:ascii="Arial" w:hAnsi="Arial" w:eastAsia="Times New Roman" w:cs="Times New Roman"/>
      <w:color w:val="auto"/>
      <w:kern w:val="0"/>
      <w:sz w:val="22"/>
      <w:szCs w:val="24"/>
      <w:lang w:val="it-IT" w:eastAsia="ar-SA" w:bidi="ar-SA"/>
    </w:rPr>
  </w:style>
  <w:style w:type="paragraph" w:styleId="Titolo1">
    <w:name w:val="Heading 1"/>
    <w:basedOn w:val="Normal"/>
    <w:qFormat/>
    <w:pPr>
      <w:keepNext w:val="true"/>
      <w:spacing w:before="240" w:after="60"/>
      <w:outlineLvl w:val="0"/>
    </w:pPr>
    <w:rPr>
      <w:rFonts w:cs="Arial"/>
      <w:b/>
      <w:bCs/>
      <w:kern w:val="2"/>
      <w:sz w:val="32"/>
      <w:szCs w:val="32"/>
    </w:rPr>
  </w:style>
  <w:style w:type="paragraph" w:styleId="Titolo2">
    <w:name w:val="Heading 2"/>
    <w:basedOn w:val="Normal"/>
    <w:qFormat/>
    <w:pPr>
      <w:keepNext w:val="true"/>
      <w:spacing w:before="240" w:after="60"/>
      <w:outlineLvl w:val="1"/>
    </w:pPr>
    <w:rPr>
      <w:rFonts w:cs="Arial"/>
      <w:b/>
      <w:bCs/>
      <w:i/>
      <w:iCs/>
      <w:sz w:val="28"/>
      <w:szCs w:val="28"/>
    </w:rPr>
  </w:style>
  <w:style w:type="paragraph" w:styleId="Titolo3">
    <w:name w:val="Heading 3"/>
    <w:basedOn w:val="Normal"/>
    <w:qFormat/>
    <w:pPr>
      <w:keepNext w:val="true"/>
      <w:tabs>
        <w:tab w:val="left" w:pos="0" w:leader="none"/>
      </w:tabs>
      <w:spacing w:before="240" w:after="120"/>
      <w:outlineLvl w:val="2"/>
    </w:pPr>
    <w:rPr>
      <w:b/>
      <w:bCs/>
      <w:iCs/>
      <w:sz w:val="24"/>
    </w:rPr>
  </w:style>
  <w:style w:type="paragraph" w:styleId="Titolo7">
    <w:name w:val="Heading 7"/>
    <w:basedOn w:val="Normal"/>
    <w:qFormat/>
    <w:pPr>
      <w:spacing w:before="240" w:after="60"/>
      <w:outlineLvl w:val="6"/>
    </w:pPr>
    <w:rPr>
      <w:rFonts w:ascii="Calibri" w:hAnsi="Calibri"/>
      <w:sz w:val="24"/>
    </w:rPr>
  </w:style>
  <w:style w:type="character" w:styleId="DefaultParagraphFont" w:default="1">
    <w:name w:val="Default Paragraph Font"/>
    <w:semiHidden/>
    <w:qFormat/>
    <w:rPr/>
  </w:style>
  <w:style w:type="character" w:styleId="Applestylespan" w:customStyle="1">
    <w:name w:val="apple-style-span"/>
    <w:basedOn w:val="DefaultParagraphFont"/>
    <w:qFormat/>
    <w:rPr/>
  </w:style>
  <w:style w:type="character" w:styleId="Richiamoallanotaapidipagina">
    <w:name w:val="Richiamo alla nota a piè di pagina"/>
    <w:rPr>
      <w:vertAlign w:val="superscript"/>
    </w:rPr>
  </w:style>
  <w:style w:type="character" w:styleId="FootnoteCharacters">
    <w:name w:val="Footnote Characters"/>
    <w:semiHidden/>
    <w:qFormat/>
    <w:rPr>
      <w:vertAlign w:val="superscript"/>
    </w:rPr>
  </w:style>
  <w:style w:type="character" w:styleId="Pagenumber">
    <w:name w:val="page number"/>
    <w:basedOn w:val="DefaultParagraphFont"/>
    <w:semiHidden/>
    <w:qFormat/>
    <w:rPr/>
  </w:style>
  <w:style w:type="character" w:styleId="Anchorantimarker1" w:customStyle="1">
    <w:name w:val="anchor_anti_marker1"/>
    <w:qFormat/>
    <w:rPr>
      <w:rFonts w:ascii="Verdana" w:hAnsi="Verdana"/>
      <w:color w:val="000000"/>
    </w:rPr>
  </w:style>
  <w:style w:type="character" w:styleId="CarattereCarattere" w:customStyle="1">
    <w:name w:val=" Carattere Carattere"/>
    <w:semiHidden/>
    <w:qFormat/>
    <w:rPr>
      <w:rFonts w:ascii="Calibri" w:hAnsi="Calibri" w:eastAsia="Times New Roman" w:cs="Times New Roman"/>
      <w:sz w:val="24"/>
      <w:szCs w:val="24"/>
      <w:lang w:eastAsia="ar-SA"/>
    </w:rPr>
  </w:style>
  <w:style w:type="character" w:styleId="CollegamentoInternet">
    <w:name w:val="Collegamento Internet"/>
    <w:semiHidden/>
    <w:rPr>
      <w:color w:val="0000FF"/>
      <w:u w:val="single"/>
    </w:rPr>
  </w:style>
  <w:style w:type="character" w:styleId="TestofumettoCarattere" w:customStyle="1">
    <w:name w:val="Testo fumetto Carattere"/>
    <w:basedOn w:val="DefaultParagraphFont"/>
    <w:link w:val="Testofumetto"/>
    <w:uiPriority w:val="99"/>
    <w:semiHidden/>
    <w:qFormat/>
    <w:rsid w:val="009e6aa9"/>
    <w:rPr>
      <w:rFonts w:ascii="Tahoma" w:hAnsi="Tahoma" w:cs="Tahoma"/>
      <w:sz w:val="16"/>
      <w:szCs w:val="16"/>
      <w:lang w:eastAsia="ar-SA"/>
    </w:rPr>
  </w:style>
  <w:style w:type="character" w:styleId="ListLabel1">
    <w:name w:val="ListLabel 1"/>
    <w:qFormat/>
    <w:rPr>
      <w:rFonts w:eastAsia="Times New Roman" w:cs="Times New Roman"/>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eastAsia="Times New Roman" w:cs="Times New Roman"/>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cs="Wingdings"/>
    </w:rPr>
  </w:style>
  <w:style w:type="character" w:styleId="ListLabel11">
    <w:name w:val="ListLabel 11"/>
    <w:qFormat/>
    <w:rPr>
      <w:rFonts w:cs="Wingdings"/>
    </w:rPr>
  </w:style>
  <w:style w:type="character" w:styleId="ListLabel12">
    <w:name w:val="ListLabel 12"/>
    <w:qFormat/>
    <w:rPr>
      <w:rFonts w:eastAsia="Times New Roman" w:cs="Times New Roman"/>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Times New Roman"/>
      <w:sz w:val="16"/>
      <w:szCs w:val="16"/>
    </w:rPr>
  </w:style>
  <w:style w:type="character" w:styleId="ListLabel17">
    <w:name w:val="ListLabel 17"/>
    <w:qFormat/>
    <w:rPr>
      <w:rFonts w:cs="Courier New"/>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Courier New"/>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Courier New"/>
    </w:rPr>
  </w:style>
  <w:style w:type="character" w:styleId="ListLabel24">
    <w:name w:val="ListLabel 24"/>
    <w:qFormat/>
    <w:rPr>
      <w:rFonts w:cs="Times New Roman"/>
    </w:rPr>
  </w:style>
  <w:style w:type="character" w:styleId="ListLabel25">
    <w:name w:val="ListLabel 25"/>
    <w:qFormat/>
    <w:rPr>
      <w:rFonts w:eastAsia="Times New Roman" w:cs="Times New Roman"/>
    </w:rPr>
  </w:style>
  <w:style w:type="character" w:styleId="ListLabel26">
    <w:name w:val="ListLabel 26"/>
    <w:qFormat/>
    <w:rPr>
      <w:rFonts w:ascii="Times New Roman" w:hAnsi="Times New Roman" w:cs="Symbol"/>
    </w:rPr>
  </w:style>
  <w:style w:type="character" w:styleId="ListLabel27">
    <w:name w:val="ListLabel 27"/>
    <w:qFormat/>
    <w:rPr>
      <w:rFonts w:ascii="Times New Roman" w:hAnsi="Times New Roman" w:cs="Symbol"/>
    </w:rPr>
  </w:style>
  <w:style w:type="character" w:styleId="Punti">
    <w:name w:val="Punti"/>
    <w:qFormat/>
    <w:rPr>
      <w:rFonts w:ascii="OpenSymbol" w:hAnsi="OpenSymbol" w:eastAsia="OpenSymbol" w:cs="OpenSymbol"/>
    </w:rPr>
  </w:style>
  <w:style w:type="character" w:styleId="ListLabel28">
    <w:name w:val="ListLabel 28"/>
    <w:qFormat/>
    <w:rPr>
      <w:rFonts w:ascii="Times New Roman" w:hAnsi="Times New Roman" w:cs="Symbol"/>
    </w:rPr>
  </w:style>
  <w:style w:type="character" w:styleId="ListLabel29">
    <w:name w:val="ListLabel 29"/>
    <w:qFormat/>
    <w:rPr>
      <w:rFonts w:ascii="Times New Roman" w:hAnsi="Times New Roman" w:cs="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semiHidden/>
    <w:pPr>
      <w:suppressAutoHyphens w:val="false"/>
    </w:pPr>
    <w:rPr>
      <w:rFonts w:ascii="Tahoma" w:hAnsi="Tahoma" w:cs="Tahoma"/>
      <w:color w:val="0000FF"/>
      <w:sz w:val="20"/>
      <w:szCs w:val="20"/>
      <w:lang w:eastAsia="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semiHidden/>
    <w:pPr>
      <w:pBdr>
        <w:bottom w:val="single" w:sz="4" w:space="1" w:color="000000"/>
      </w:pBdr>
      <w:tabs>
        <w:tab w:val="center" w:pos="5103" w:leader="none"/>
        <w:tab w:val="right" w:pos="10206" w:leader="none"/>
      </w:tabs>
    </w:pPr>
    <w:rPr>
      <w:sz w:val="16"/>
    </w:rPr>
  </w:style>
  <w:style w:type="paragraph" w:styleId="Notaapidipagina">
    <w:name w:val="Footnote Text"/>
    <w:basedOn w:val="Normal"/>
    <w:semiHidden/>
    <w:pPr>
      <w:suppressAutoHyphens w:val="false"/>
      <w:jc w:val="left"/>
    </w:pPr>
    <w:rPr>
      <w:sz w:val="18"/>
      <w:szCs w:val="20"/>
      <w:lang w:eastAsia="it-IT"/>
    </w:rPr>
  </w:style>
  <w:style w:type="paragraph" w:styleId="Separatorearticoli" w:customStyle="1">
    <w:name w:val="separatore articoli"/>
    <w:basedOn w:val="Normal"/>
    <w:qFormat/>
    <w:pPr>
      <w:shd w:val="clear" w:color="auto" w:fill="C0C0C0"/>
      <w:spacing w:before="480" w:after="480"/>
    </w:pPr>
    <w:rPr>
      <w:sz w:val="4"/>
    </w:rPr>
  </w:style>
  <w:style w:type="paragraph" w:styleId="DELIBERA" w:customStyle="1">
    <w:name w:val="DELIBERA"/>
    <w:qFormat/>
    <w:pPr>
      <w:widowControl/>
      <w:bidi w:val="0"/>
      <w:jc w:val="both"/>
    </w:pPr>
    <w:rPr>
      <w:rFonts w:ascii="Times New Roman" w:hAnsi="Times New Roman" w:eastAsia="Times New Roman" w:cs="Times New Roman"/>
      <w:color w:val="auto"/>
      <w:kern w:val="0"/>
      <w:sz w:val="24"/>
      <w:szCs w:val="20"/>
      <w:lang w:val="it-IT" w:eastAsia="it-IT" w:bidi="ar-SA"/>
    </w:rPr>
  </w:style>
  <w:style w:type="paragraph" w:styleId="PROPOSTAGIUNTA" w:customStyle="1">
    <w:name w:val="PROPOSTAGIUNTA"/>
    <w:qFormat/>
    <w:pPr>
      <w:widowControl/>
      <w:bidi w:val="0"/>
      <w:jc w:val="both"/>
    </w:pPr>
    <w:rPr>
      <w:rFonts w:ascii="Times New Roman" w:hAnsi="Times New Roman" w:eastAsia="Times New Roman" w:cs="Times New Roman"/>
      <w:color w:val="auto"/>
      <w:kern w:val="0"/>
      <w:sz w:val="24"/>
      <w:szCs w:val="20"/>
      <w:lang w:val="it-IT" w:eastAsia="it-IT" w:bidi="ar-SA"/>
    </w:rPr>
  </w:style>
  <w:style w:type="paragraph" w:styleId="ELENCO1" w:customStyle="1">
    <w:name w:val="ELENCO 1."/>
    <w:basedOn w:val="Normal"/>
    <w:qFormat/>
    <w:pPr>
      <w:suppressAutoHyphens w:val="false"/>
      <w:spacing w:before="120" w:after="60"/>
    </w:pPr>
    <w:rPr>
      <w:rFonts w:ascii="Times New Roman" w:hAnsi="Times New Roman"/>
      <w:sz w:val="24"/>
      <w:szCs w:val="20"/>
      <w:lang w:eastAsia="it-IT"/>
    </w:rPr>
  </w:style>
  <w:style w:type="paragraph" w:styleId="GIUNTARIENTRO" w:customStyle="1">
    <w:name w:val="GIUNTARIENTRO"/>
    <w:basedOn w:val="PROPOSTAGIUNTA"/>
    <w:qFormat/>
    <w:pPr>
      <w:ind w:firstLine="709"/>
    </w:pPr>
    <w:rPr/>
  </w:style>
  <w:style w:type="paragraph" w:styleId="GIUNTAGRASSETTO" w:customStyle="1">
    <w:name w:val="GIUNTAGRASSETTO"/>
    <w:basedOn w:val="PROPOSTAGIUNTA"/>
    <w:qFormat/>
    <w:pPr>
      <w:jc w:val="center"/>
    </w:pPr>
    <w:rPr>
      <w:b/>
      <w:sz w:val="28"/>
    </w:rPr>
  </w:style>
  <w:style w:type="paragraph" w:styleId="Pidipagina">
    <w:name w:val="Footer"/>
    <w:basedOn w:val="Normal"/>
    <w:semiHidden/>
    <w:pPr>
      <w:pBdr>
        <w:top w:val="single" w:sz="4" w:space="1" w:color="000000"/>
      </w:pBdr>
      <w:tabs>
        <w:tab w:val="center" w:pos="5103" w:leader="none"/>
        <w:tab w:val="right" w:pos="10206" w:leader="none"/>
      </w:tabs>
    </w:pPr>
    <w:rPr>
      <w:sz w:val="16"/>
    </w:rPr>
  </w:style>
  <w:style w:type="paragraph" w:styleId="BodyText2">
    <w:name w:val="Body Text 2"/>
    <w:basedOn w:val="Normal"/>
    <w:semiHidden/>
    <w:qFormat/>
    <w:pPr/>
    <w:rPr>
      <w:rFonts w:ascii="Times New Roman" w:hAnsi="Times New Roman"/>
      <w:sz w:val="20"/>
    </w:rPr>
  </w:style>
  <w:style w:type="paragraph" w:styleId="ListParagraph">
    <w:name w:val="List Paragraph"/>
    <w:basedOn w:val="Normal"/>
    <w:qFormat/>
    <w:pPr>
      <w:suppressAutoHyphens w:val="false"/>
      <w:spacing w:lineRule="auto" w:line="276" w:before="0" w:after="200"/>
      <w:ind w:left="720" w:hanging="0"/>
      <w:jc w:val="left"/>
    </w:pPr>
    <w:rPr>
      <w:rFonts w:ascii="Calibri" w:hAnsi="Calibri" w:eastAsia="Calibri"/>
      <w:szCs w:val="22"/>
      <w:lang w:eastAsia="en-US"/>
    </w:rPr>
  </w:style>
  <w:style w:type="paragraph" w:styleId="Provvestremo1" w:customStyle="1">
    <w:name w:val="provv_estremo1"/>
    <w:basedOn w:val="Normal"/>
    <w:qFormat/>
    <w:pPr>
      <w:suppressAutoHyphens w:val="false"/>
      <w:spacing w:beforeAutospacing="1" w:afterAutospacing="1"/>
    </w:pPr>
    <w:rPr>
      <w:rFonts w:ascii="Verdana" w:hAnsi="Verdana"/>
      <w:b/>
      <w:bCs/>
      <w:sz w:val="24"/>
      <w:lang w:eastAsia="it-IT"/>
    </w:rPr>
  </w:style>
  <w:style w:type="paragraph" w:styleId="BodyTextIndent2">
    <w:name w:val="Body Text Indent 2"/>
    <w:basedOn w:val="Normal"/>
    <w:semiHidden/>
    <w:qFormat/>
    <w:pPr>
      <w:suppressAutoHyphens w:val="false"/>
      <w:ind w:left="1134" w:hanging="1134"/>
    </w:pPr>
    <w:rPr>
      <w:rFonts w:cs="Arial"/>
      <w:sz w:val="20"/>
      <w:szCs w:val="20"/>
      <w:lang w:eastAsia="it-IT"/>
    </w:rPr>
  </w:style>
  <w:style w:type="paragraph" w:styleId="Descrizione" w:customStyle="1">
    <w:name w:val="Descrizione"/>
    <w:basedOn w:val="Normal"/>
    <w:qFormat/>
    <w:pPr>
      <w:suppressAutoHyphens w:val="false"/>
      <w:spacing w:before="0" w:after="240"/>
      <w:jc w:val="left"/>
    </w:pPr>
    <w:rPr>
      <w:rFonts w:ascii="Calibri" w:hAnsi="Calibri"/>
      <w:i/>
      <w:sz w:val="18"/>
      <w:szCs w:val="18"/>
      <w:lang w:eastAsia="it-IT"/>
    </w:rPr>
  </w:style>
  <w:style w:type="paragraph" w:styleId="BodyText3">
    <w:name w:val="Body Text 3"/>
    <w:basedOn w:val="Normal"/>
    <w:semiHidden/>
    <w:qFormat/>
    <w:pPr>
      <w:suppressAutoHyphens w:val="false"/>
      <w:spacing w:before="0" w:after="120"/>
      <w:jc w:val="left"/>
    </w:pPr>
    <w:rPr>
      <w:rFonts w:ascii="Times New Roman" w:hAnsi="Times New Roman"/>
      <w:sz w:val="16"/>
      <w:szCs w:val="16"/>
      <w:lang w:eastAsia="it-IT"/>
    </w:rPr>
  </w:style>
  <w:style w:type="paragraph" w:styleId="Default" w:customStyle="1">
    <w:name w:val="Default"/>
    <w:qFormat/>
    <w:pPr>
      <w:widowControl/>
      <w:bidi w:val="0"/>
      <w:jc w:val="left"/>
    </w:pPr>
    <w:rPr>
      <w:rFonts w:ascii="Verdana" w:hAnsi="Verdana" w:eastAsia="Times New Roman" w:cs="Times New Roman"/>
      <w:color w:val="000000"/>
      <w:kern w:val="0"/>
      <w:sz w:val="24"/>
      <w:szCs w:val="24"/>
      <w:lang w:val="it-IT" w:eastAsia="it-IT" w:bidi="ar-SA"/>
    </w:rPr>
  </w:style>
  <w:style w:type="paragraph" w:styleId="Rientrocorpodeltesto">
    <w:name w:val="Body Text Indent"/>
    <w:basedOn w:val="Normal"/>
    <w:semiHidden/>
    <w:pPr>
      <w:ind w:left="-91" w:hanging="0"/>
    </w:pPr>
    <w:rPr>
      <w:rFonts w:ascii="Times New Roman" w:hAnsi="Times New Roman"/>
      <w:b/>
      <w:sz w:val="20"/>
    </w:rPr>
  </w:style>
  <w:style w:type="paragraph" w:styleId="PlainText">
    <w:name w:val="Plain Text"/>
    <w:basedOn w:val="Normal"/>
    <w:semiHidden/>
    <w:qFormat/>
    <w:pPr>
      <w:widowControl w:val="false"/>
      <w:tabs>
        <w:tab w:val="left" w:pos="709" w:leader="none"/>
      </w:tabs>
      <w:suppressAutoHyphens w:val="false"/>
    </w:pPr>
    <w:rPr>
      <w:rFonts w:ascii="Times New Roman" w:hAnsi="Times New Roman"/>
      <w:sz w:val="24"/>
      <w:lang w:eastAsia="it-IT"/>
    </w:rPr>
  </w:style>
  <w:style w:type="paragraph" w:styleId="BalloonText">
    <w:name w:val="Balloon Text"/>
    <w:basedOn w:val="Normal"/>
    <w:link w:val="TestofumettoCarattere"/>
    <w:uiPriority w:val="99"/>
    <w:semiHidden/>
    <w:unhideWhenUsed/>
    <w:qFormat/>
    <w:rsid w:val="009e6aa9"/>
    <w:pPr/>
    <w:rPr>
      <w:rFonts w:ascii="Tahoma" w:hAnsi="Tahoma" w:cs="Tahoma"/>
      <w:sz w:val="16"/>
      <w:szCs w:val="16"/>
    </w:rPr>
  </w:style>
  <w:style w:type="paragraph" w:styleId="Rientrocorpodeltesto2">
    <w:name w:val="Rientro corpo del testo 2"/>
    <w:basedOn w:val="Normal"/>
    <w:qFormat/>
    <w:pPr>
      <w:ind w:left="1134" w:right="0" w:hanging="1134"/>
      <w:jc w:val="both"/>
    </w:pPr>
    <w:rPr>
      <w:rFonts w:ascii="Arial" w:hAnsi="Arial" w:cs="Arial"/>
    </w:rPr>
  </w:style>
  <w:style w:type="paragraph" w:styleId="Corpodeltesto3">
    <w:name w:val="Corpo del testo 3"/>
    <w:basedOn w:val="Normal"/>
    <w:qFormat/>
    <w:pPr>
      <w:spacing w:before="0" w:after="120"/>
    </w:pPr>
    <w:rPr>
      <w:sz w:val="16"/>
      <w:szCs w:val="16"/>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Application>LibreOffice/6.0.4.2$Windows_X86_64 LibreOffice_project/9b0d9b32d5dcda91d2f1a96dc04c645c450872bf</Application>
  <Pages>12</Pages>
  <Words>4920</Words>
  <Characters>26890</Characters>
  <CharactersWithSpaces>31398</CharactersWithSpaces>
  <Paragraphs>608</Paragraphs>
  <Company>idea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2018-12-19T17:10:00Z</dcterms:created>
  <dc:creator>marco</dc:creator>
  <dc:description/>
  <dc:language>it-IT</dc:language>
  <cp:lastModifiedBy/>
  <cp:lastPrinted>2017-03-21T14:07:00Z</cp:lastPrinted>
  <dcterms:modified xsi:type="dcterms:W3CDTF">2023-12-28T11:50:57Z</dcterms:modified>
  <cp:revision>90</cp:revision>
  <dc:subject/>
  <dc:title>FAC-SIMILE DI DELIBERA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idea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